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8497" w14:textId="77777777" w:rsidR="0048328B" w:rsidRPr="00B977CA" w:rsidRDefault="0048328B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977CA">
        <w:rPr>
          <w:rFonts w:ascii="Arial" w:hAnsi="Arial" w:cs="Arial"/>
          <w:b/>
          <w:sz w:val="20"/>
          <w:szCs w:val="20"/>
        </w:rPr>
        <w:t>Hintergrund</w:t>
      </w:r>
    </w:p>
    <w:p w14:paraId="00BF893A" w14:textId="77777777" w:rsidR="0048328B" w:rsidRPr="00B977CA" w:rsidRDefault="0048328B" w:rsidP="0048328B">
      <w:pPr>
        <w:keepNext/>
        <w:jc w:val="both"/>
        <w:rPr>
          <w:rFonts w:ascii="Arial" w:hAnsi="Arial" w:cs="Arial"/>
          <w:sz w:val="20"/>
          <w:szCs w:val="20"/>
        </w:rPr>
      </w:pPr>
      <w:r w:rsidRPr="00B977CA">
        <w:rPr>
          <w:rFonts w:ascii="Arial" w:hAnsi="Arial" w:cs="Arial"/>
          <w:sz w:val="20"/>
          <w:szCs w:val="20"/>
        </w:rPr>
        <w:t>Den Bürgschaften und Garantien der Bürgschaftsbank liegen, durch die teilweise staatliche Rückverbürgung, Subventionen de</w:t>
      </w:r>
      <w:r w:rsidR="00D35538" w:rsidRPr="00B977CA">
        <w:rPr>
          <w:rFonts w:ascii="Arial" w:hAnsi="Arial" w:cs="Arial"/>
          <w:sz w:val="20"/>
          <w:szCs w:val="20"/>
        </w:rPr>
        <w:t>s Bundes und der Länder</w:t>
      </w:r>
      <w:r w:rsidRPr="00B977CA">
        <w:rPr>
          <w:rFonts w:ascii="Arial" w:hAnsi="Arial" w:cs="Arial"/>
          <w:sz w:val="20"/>
          <w:szCs w:val="20"/>
        </w:rPr>
        <w:t xml:space="preserve"> </w:t>
      </w:r>
      <w:r w:rsidR="00D35538" w:rsidRPr="00B977CA">
        <w:rPr>
          <w:rFonts w:ascii="Arial" w:hAnsi="Arial" w:cs="Arial"/>
          <w:sz w:val="20"/>
          <w:szCs w:val="20"/>
        </w:rPr>
        <w:t>zugrunde</w:t>
      </w:r>
      <w:r w:rsidRPr="00B977CA">
        <w:rPr>
          <w:rFonts w:ascii="Arial" w:hAnsi="Arial" w:cs="Arial"/>
          <w:sz w:val="20"/>
          <w:szCs w:val="20"/>
        </w:rPr>
        <w:t>. Sie sollen gewährt werden, um die Kreditfähigkeit mittelständischer Unternehmen zu erhöhen. Hierdurch bedingt ist die Einhaltung der europäischen Bestimmungen zum Beihilfenrecht von zentraler Bedeutung.</w:t>
      </w:r>
      <w:r w:rsidR="00D35538" w:rsidRPr="00B977CA">
        <w:rPr>
          <w:rFonts w:ascii="Arial" w:hAnsi="Arial" w:cs="Arial"/>
          <w:sz w:val="20"/>
          <w:szCs w:val="20"/>
        </w:rPr>
        <w:t xml:space="preserve"> Die wichtigste Grundlage für die Gewährung der staatlichen Mittel ist die De-minimis</w:t>
      </w:r>
      <w:r w:rsidR="004F4AFD">
        <w:rPr>
          <w:rFonts w:ascii="Arial" w:hAnsi="Arial" w:cs="Arial"/>
          <w:sz w:val="20"/>
          <w:szCs w:val="20"/>
        </w:rPr>
        <w:t>-</w:t>
      </w:r>
      <w:r w:rsidR="00D35538" w:rsidRPr="00B977CA">
        <w:rPr>
          <w:rFonts w:ascii="Arial" w:hAnsi="Arial" w:cs="Arial"/>
          <w:sz w:val="20"/>
          <w:szCs w:val="20"/>
        </w:rPr>
        <w:t xml:space="preserve"> Verordnung</w:t>
      </w:r>
      <w:r w:rsidR="00917EDB">
        <w:rPr>
          <w:rFonts w:ascii="Arial" w:hAnsi="Arial" w:cs="Arial"/>
          <w:sz w:val="20"/>
          <w:szCs w:val="20"/>
        </w:rPr>
        <w:t xml:space="preserve"> </w:t>
      </w:r>
      <w:r w:rsidR="00917EDB" w:rsidRPr="000E366A">
        <w:rPr>
          <w:rFonts w:ascii="Arial" w:hAnsi="Arial" w:cs="Arial"/>
          <w:sz w:val="20"/>
          <w:szCs w:val="20"/>
        </w:rPr>
        <w:t>(allgemein)</w:t>
      </w:r>
      <w:r w:rsidR="00D35538" w:rsidRPr="000E366A">
        <w:rPr>
          <w:rFonts w:ascii="Arial" w:hAnsi="Arial" w:cs="Arial"/>
          <w:sz w:val="20"/>
          <w:szCs w:val="20"/>
        </w:rPr>
        <w:t>.</w:t>
      </w:r>
      <w:r w:rsidR="00D35538" w:rsidRPr="00917EDB">
        <w:rPr>
          <w:rFonts w:ascii="Arial" w:hAnsi="Arial" w:cs="Arial"/>
          <w:color w:val="FF0000"/>
          <w:sz w:val="20"/>
          <w:szCs w:val="20"/>
        </w:rPr>
        <w:t xml:space="preserve"> </w:t>
      </w:r>
      <w:r w:rsidR="00D35538" w:rsidRPr="00B977CA">
        <w:rPr>
          <w:rFonts w:ascii="Arial" w:hAnsi="Arial" w:cs="Arial"/>
          <w:sz w:val="20"/>
          <w:szCs w:val="20"/>
        </w:rPr>
        <w:t>Die Begriffe und einzelne Voraussetzungen werden nachstehend kurz definiert.</w:t>
      </w:r>
    </w:p>
    <w:p w14:paraId="4F0014F1" w14:textId="77777777" w:rsidR="0048328B" w:rsidRPr="00B977CA" w:rsidRDefault="00D35538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977CA">
        <w:rPr>
          <w:rFonts w:ascii="Arial" w:hAnsi="Arial" w:cs="Arial"/>
          <w:b/>
          <w:sz w:val="20"/>
          <w:szCs w:val="20"/>
        </w:rPr>
        <w:t>Der Begriff der Beihilfe</w:t>
      </w:r>
    </w:p>
    <w:p w14:paraId="51303519" w14:textId="77777777" w:rsidR="0048328B" w:rsidRDefault="00C072D6" w:rsidP="00C072D6">
      <w:pPr>
        <w:jc w:val="both"/>
        <w:rPr>
          <w:rFonts w:ascii="Arial" w:hAnsi="Arial" w:cs="Arial"/>
          <w:sz w:val="20"/>
          <w:szCs w:val="20"/>
        </w:rPr>
      </w:pPr>
      <w:r w:rsidRPr="00C072D6">
        <w:rPr>
          <w:rFonts w:ascii="Arial" w:hAnsi="Arial" w:cs="Arial"/>
          <w:sz w:val="20"/>
          <w:szCs w:val="20"/>
        </w:rPr>
        <w:t>Gleichbedeut</w:t>
      </w:r>
      <w:r w:rsidR="00DE44BB">
        <w:rPr>
          <w:rFonts w:ascii="Arial" w:hAnsi="Arial" w:cs="Arial"/>
          <w:sz w:val="20"/>
          <w:szCs w:val="20"/>
        </w:rPr>
        <w:t>end für den Begriff der Subvention kann der Begriff der Beihilfe</w:t>
      </w:r>
      <w:r w:rsidRPr="00C072D6">
        <w:rPr>
          <w:rFonts w:ascii="Arial" w:hAnsi="Arial" w:cs="Arial"/>
          <w:sz w:val="20"/>
          <w:szCs w:val="20"/>
        </w:rPr>
        <w:t xml:space="preserve"> verwendet werden.</w:t>
      </w:r>
      <w:r>
        <w:rPr>
          <w:rFonts w:ascii="Arial" w:hAnsi="Arial" w:cs="Arial"/>
          <w:sz w:val="20"/>
          <w:szCs w:val="20"/>
        </w:rPr>
        <w:t xml:space="preserve"> Beihilfen sind Zu</w:t>
      </w:r>
      <w:r w:rsidR="004442F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wendungen</w:t>
      </w:r>
      <w:r w:rsidR="00DA07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die für das begünstigte Unternehmen einen wirtschaftlichen Vorteil gegenüber einem Mitbewerber darstellen, der entsprechende Leistungen nicht erhalte</w:t>
      </w:r>
      <w:r w:rsidR="00DA0736">
        <w:rPr>
          <w:rFonts w:ascii="Arial" w:hAnsi="Arial" w:cs="Arial"/>
          <w:sz w:val="20"/>
          <w:szCs w:val="20"/>
        </w:rPr>
        <w:t>n hat. Diese Zuwendungen können</w:t>
      </w:r>
      <w:r>
        <w:rPr>
          <w:rFonts w:ascii="Arial" w:hAnsi="Arial" w:cs="Arial"/>
          <w:sz w:val="20"/>
          <w:szCs w:val="20"/>
        </w:rPr>
        <w:t xml:space="preserve"> z.B. in Form von </w:t>
      </w:r>
      <w:r w:rsidR="008031CF">
        <w:rPr>
          <w:rFonts w:ascii="Arial" w:hAnsi="Arial" w:cs="Arial"/>
          <w:sz w:val="20"/>
          <w:szCs w:val="20"/>
        </w:rPr>
        <w:t xml:space="preserve">Bürgschaften, Garantien, </w:t>
      </w:r>
      <w:r>
        <w:rPr>
          <w:rFonts w:ascii="Arial" w:hAnsi="Arial" w:cs="Arial"/>
          <w:sz w:val="20"/>
          <w:szCs w:val="20"/>
        </w:rPr>
        <w:t>Zuschüssen oder zinsverbilligten Darlehen ausgereicht werden.</w:t>
      </w:r>
    </w:p>
    <w:p w14:paraId="4171D354" w14:textId="77777777" w:rsidR="007369A4" w:rsidRDefault="007369A4" w:rsidP="00C07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Zuwendungen werden nur einzelne Marktteilnehmer begünstigt, damit besteht die Möglichkeit, dass der Wettbewerb unter den Marktteilnehmern beeinträchtigt wird</w:t>
      </w:r>
      <w:r w:rsidR="007437D7">
        <w:rPr>
          <w:rFonts w:ascii="Arial" w:hAnsi="Arial" w:cs="Arial"/>
          <w:sz w:val="20"/>
          <w:szCs w:val="20"/>
        </w:rPr>
        <w:t>. Eine solche Beihilfe widerspricht jedoch dem Prinzip der freien Mark</w:t>
      </w:r>
      <w:r w:rsidR="006112EE">
        <w:rPr>
          <w:rFonts w:ascii="Arial" w:hAnsi="Arial" w:cs="Arial"/>
          <w:sz w:val="20"/>
          <w:szCs w:val="20"/>
        </w:rPr>
        <w:t>twirtschaft. Doch sind einzelne geringfügige</w:t>
      </w:r>
      <w:r w:rsidR="007437D7">
        <w:rPr>
          <w:rFonts w:ascii="Arial" w:hAnsi="Arial" w:cs="Arial"/>
          <w:sz w:val="20"/>
          <w:szCs w:val="20"/>
        </w:rPr>
        <w:t xml:space="preserve"> Fördermaßnahmen </w:t>
      </w:r>
      <w:r w:rsidR="008031CF">
        <w:rPr>
          <w:rFonts w:ascii="Arial" w:hAnsi="Arial" w:cs="Arial"/>
          <w:sz w:val="20"/>
          <w:szCs w:val="20"/>
        </w:rPr>
        <w:t xml:space="preserve">oftmals </w:t>
      </w:r>
      <w:r w:rsidR="007437D7">
        <w:rPr>
          <w:rFonts w:ascii="Arial" w:hAnsi="Arial" w:cs="Arial"/>
          <w:sz w:val="20"/>
          <w:szCs w:val="20"/>
        </w:rPr>
        <w:t>politisch gewünscht.</w:t>
      </w:r>
    </w:p>
    <w:p w14:paraId="46C50FC9" w14:textId="77777777" w:rsidR="007437D7" w:rsidRPr="00C072D6" w:rsidRDefault="007437D7" w:rsidP="00C07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 sind durch die europarechtlichen Bestimmungen alle wettbewerbsverzerrenden staatlichen Beihilfen</w:t>
      </w:r>
      <w:r w:rsidR="00D3349D">
        <w:rPr>
          <w:rFonts w:ascii="Arial" w:hAnsi="Arial" w:cs="Arial"/>
          <w:sz w:val="20"/>
          <w:szCs w:val="20"/>
        </w:rPr>
        <w:t xml:space="preserve"> verboten. Allgemein </w:t>
      </w:r>
      <w:r w:rsidR="00D26743">
        <w:rPr>
          <w:rFonts w:ascii="Arial" w:hAnsi="Arial" w:cs="Arial"/>
          <w:sz w:val="20"/>
          <w:szCs w:val="20"/>
        </w:rPr>
        <w:t>g</w:t>
      </w:r>
      <w:r w:rsidR="00D3349D">
        <w:rPr>
          <w:rFonts w:ascii="Arial" w:hAnsi="Arial" w:cs="Arial"/>
          <w:sz w:val="20"/>
          <w:szCs w:val="20"/>
        </w:rPr>
        <w:t>ilt, dass sämtliche staatliche B</w:t>
      </w:r>
      <w:r w:rsidR="00D26743">
        <w:rPr>
          <w:rFonts w:ascii="Arial" w:hAnsi="Arial" w:cs="Arial"/>
          <w:sz w:val="20"/>
          <w:szCs w:val="20"/>
        </w:rPr>
        <w:t>eihilfen durch die Europäische Kommission genehmigt bzw. notifiziert werden müssen.</w:t>
      </w:r>
    </w:p>
    <w:p w14:paraId="10FB7CCC" w14:textId="77777777" w:rsidR="00D35538" w:rsidRPr="00B977CA" w:rsidRDefault="005528AD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De-minimis-</w:t>
      </w:r>
      <w:r w:rsidR="00D35538" w:rsidRPr="00B977CA">
        <w:rPr>
          <w:rFonts w:ascii="Arial" w:hAnsi="Arial" w:cs="Arial"/>
          <w:b/>
          <w:sz w:val="20"/>
          <w:szCs w:val="20"/>
        </w:rPr>
        <w:t>Beihilfe</w:t>
      </w:r>
    </w:p>
    <w:p w14:paraId="1AEF4B5E" w14:textId="77777777" w:rsidR="00A31868" w:rsidRDefault="009E6364" w:rsidP="004333B3">
      <w:pPr>
        <w:jc w:val="both"/>
        <w:rPr>
          <w:rFonts w:ascii="Arial" w:hAnsi="Arial" w:cs="Arial"/>
          <w:sz w:val="20"/>
          <w:szCs w:val="20"/>
        </w:rPr>
      </w:pPr>
      <w:r w:rsidRPr="004333B3">
        <w:rPr>
          <w:rFonts w:ascii="Arial" w:hAnsi="Arial" w:cs="Arial"/>
          <w:sz w:val="20"/>
          <w:szCs w:val="20"/>
        </w:rPr>
        <w:t xml:space="preserve">Beihilfen, die einen bestimmten Betrag nicht überschreiten, sind zulässig, ohne dass diese zuvor im Rahmen eines </w:t>
      </w:r>
      <w:proofErr w:type="spellStart"/>
      <w:r w:rsidRPr="004333B3">
        <w:rPr>
          <w:rFonts w:ascii="Arial" w:hAnsi="Arial" w:cs="Arial"/>
          <w:sz w:val="20"/>
          <w:szCs w:val="20"/>
        </w:rPr>
        <w:t>Notifizierungs</w:t>
      </w:r>
      <w:proofErr w:type="spellEnd"/>
      <w:r w:rsidR="00D12679">
        <w:rPr>
          <w:rFonts w:ascii="Arial" w:hAnsi="Arial" w:cs="Arial"/>
          <w:sz w:val="20"/>
          <w:szCs w:val="20"/>
        </w:rPr>
        <w:t>-</w:t>
      </w:r>
      <w:r w:rsidRPr="004333B3">
        <w:rPr>
          <w:rFonts w:ascii="Arial" w:hAnsi="Arial" w:cs="Arial"/>
          <w:sz w:val="20"/>
          <w:szCs w:val="20"/>
        </w:rPr>
        <w:t>verfahrens</w:t>
      </w:r>
      <w:r w:rsidR="004333B3">
        <w:rPr>
          <w:rFonts w:ascii="Arial" w:hAnsi="Arial" w:cs="Arial"/>
          <w:sz w:val="20"/>
          <w:szCs w:val="20"/>
        </w:rPr>
        <w:t xml:space="preserve"> genehmigt werden müssen. </w:t>
      </w:r>
    </w:p>
    <w:p w14:paraId="692B23E5" w14:textId="77777777" w:rsidR="004333B3" w:rsidRDefault="004333B3" w:rsidP="00433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 Beihilfen sind </w:t>
      </w:r>
      <w:r w:rsidR="00DA0736">
        <w:rPr>
          <w:rFonts w:ascii="Arial" w:hAnsi="Arial" w:cs="Arial"/>
          <w:sz w:val="20"/>
          <w:szCs w:val="20"/>
        </w:rPr>
        <w:t xml:space="preserve">dem </w:t>
      </w:r>
      <w:r>
        <w:rPr>
          <w:rFonts w:ascii="Arial" w:hAnsi="Arial" w:cs="Arial"/>
          <w:sz w:val="20"/>
          <w:szCs w:val="20"/>
        </w:rPr>
        <w:t xml:space="preserve">Betrag nach so gering, dass </w:t>
      </w:r>
      <w:r w:rsidR="00DA0736">
        <w:rPr>
          <w:rFonts w:ascii="Arial" w:hAnsi="Arial" w:cs="Arial"/>
          <w:sz w:val="20"/>
          <w:szCs w:val="20"/>
        </w:rPr>
        <w:t xml:space="preserve">keine </w:t>
      </w:r>
      <w:r>
        <w:rPr>
          <w:rFonts w:ascii="Arial" w:hAnsi="Arial" w:cs="Arial"/>
          <w:sz w:val="20"/>
          <w:szCs w:val="20"/>
        </w:rPr>
        <w:t>spürbaren Auswirkungen auf den Handel und Wettbe</w:t>
      </w:r>
      <w:r w:rsidR="00D3349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erb zw</w:t>
      </w:r>
      <w:r w:rsidR="00DA0736">
        <w:rPr>
          <w:rFonts w:ascii="Arial" w:hAnsi="Arial" w:cs="Arial"/>
          <w:sz w:val="20"/>
          <w:szCs w:val="20"/>
        </w:rPr>
        <w:t>ischen den Mitgliedstaaten verzeichnet werden können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70D04B9" w14:textId="77777777" w:rsidR="00A5680F" w:rsidRDefault="00A5680F" w:rsidP="00DA0736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A5680F">
        <w:rPr>
          <w:rFonts w:ascii="Arial" w:hAnsi="Arial" w:cs="Arial"/>
          <w:b/>
          <w:sz w:val="20"/>
          <w:szCs w:val="20"/>
        </w:rPr>
        <w:t>Unterschiedliche Arten der De-minimis</w:t>
      </w:r>
      <w:r w:rsidR="005528AD">
        <w:rPr>
          <w:rFonts w:ascii="Arial" w:hAnsi="Arial" w:cs="Arial"/>
          <w:b/>
          <w:sz w:val="20"/>
          <w:szCs w:val="20"/>
        </w:rPr>
        <w:t>-</w:t>
      </w:r>
      <w:r w:rsidRPr="00A5680F">
        <w:rPr>
          <w:rFonts w:ascii="Arial" w:hAnsi="Arial" w:cs="Arial"/>
          <w:b/>
          <w:sz w:val="20"/>
          <w:szCs w:val="20"/>
        </w:rPr>
        <w:t xml:space="preserve"> Förderung</w:t>
      </w:r>
    </w:p>
    <w:p w14:paraId="097B02B4" w14:textId="77777777" w:rsidR="00A5680F" w:rsidRPr="00A5680F" w:rsidRDefault="005528AD" w:rsidP="00433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Rahmen der De-minimis-</w:t>
      </w:r>
      <w:r w:rsidR="00A5680F" w:rsidRPr="00A5680F">
        <w:rPr>
          <w:rFonts w:ascii="Arial" w:hAnsi="Arial" w:cs="Arial"/>
          <w:sz w:val="20"/>
          <w:szCs w:val="20"/>
        </w:rPr>
        <w:t>För</w:t>
      </w:r>
      <w:r>
        <w:rPr>
          <w:rFonts w:ascii="Arial" w:hAnsi="Arial" w:cs="Arial"/>
          <w:sz w:val="20"/>
          <w:szCs w:val="20"/>
        </w:rPr>
        <w:t>derung bestehen vier De-minimis-</w:t>
      </w:r>
      <w:r w:rsidR="00A5680F" w:rsidRPr="00A5680F">
        <w:rPr>
          <w:rFonts w:ascii="Arial" w:hAnsi="Arial" w:cs="Arial"/>
          <w:sz w:val="20"/>
          <w:szCs w:val="20"/>
        </w:rPr>
        <w:t>Verordnungen zur Förderung</w:t>
      </w:r>
      <w:r w:rsidR="000E366A">
        <w:rPr>
          <w:rFonts w:ascii="Arial" w:hAnsi="Arial" w:cs="Arial"/>
          <w:sz w:val="20"/>
          <w:szCs w:val="20"/>
        </w:rPr>
        <w:t>.</w:t>
      </w:r>
    </w:p>
    <w:p w14:paraId="4F237088" w14:textId="77777777" w:rsidR="00A5680F" w:rsidRDefault="00A5680F" w:rsidP="00433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 sind</w:t>
      </w:r>
      <w:r w:rsidR="007801B4">
        <w:rPr>
          <w:rFonts w:ascii="Arial" w:hAnsi="Arial" w:cs="Arial"/>
          <w:sz w:val="20"/>
          <w:szCs w:val="20"/>
        </w:rPr>
        <w:t xml:space="preserve"> folgende Verordnungen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DA0F3A4" w14:textId="77777777" w:rsidR="00A5680F" w:rsidRDefault="0019081B" w:rsidP="0019081B">
      <w:pPr>
        <w:numPr>
          <w:ilvl w:val="0"/>
          <w:numId w:val="12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De-minimis-</w:t>
      </w:r>
      <w:r w:rsidR="00A5680F">
        <w:rPr>
          <w:rFonts w:ascii="Arial" w:hAnsi="Arial" w:cs="Arial"/>
          <w:sz w:val="20"/>
          <w:szCs w:val="20"/>
        </w:rPr>
        <w:t>Verordnung (allgemein)</w:t>
      </w:r>
      <w:r w:rsidR="00B24205">
        <w:rPr>
          <w:rStyle w:val="Funotenzeichen"/>
          <w:rFonts w:ascii="Arial" w:hAnsi="Arial" w:cs="Arial"/>
          <w:sz w:val="20"/>
          <w:szCs w:val="20"/>
        </w:rPr>
        <w:footnoteReference w:id="1"/>
      </w:r>
    </w:p>
    <w:p w14:paraId="42AF9313" w14:textId="77777777" w:rsidR="00A5680F" w:rsidRDefault="0019081B" w:rsidP="0019081B">
      <w:pPr>
        <w:numPr>
          <w:ilvl w:val="0"/>
          <w:numId w:val="12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De-minimis-</w:t>
      </w:r>
      <w:r w:rsidR="007B63EC">
        <w:rPr>
          <w:rFonts w:ascii="Arial" w:hAnsi="Arial" w:cs="Arial"/>
          <w:sz w:val="20"/>
          <w:szCs w:val="20"/>
        </w:rPr>
        <w:t>Verordnung (</w:t>
      </w:r>
      <w:proofErr w:type="spellStart"/>
      <w:r w:rsidR="007B63EC">
        <w:rPr>
          <w:rFonts w:ascii="Arial" w:hAnsi="Arial" w:cs="Arial"/>
          <w:sz w:val="20"/>
          <w:szCs w:val="20"/>
        </w:rPr>
        <w:t>Agrar</w:t>
      </w:r>
      <w:proofErr w:type="spellEnd"/>
      <w:r w:rsidR="007B63EC">
        <w:rPr>
          <w:rFonts w:ascii="Arial" w:hAnsi="Arial" w:cs="Arial"/>
          <w:sz w:val="20"/>
          <w:szCs w:val="20"/>
        </w:rPr>
        <w:t>)</w:t>
      </w:r>
      <w:r w:rsidR="00B24205">
        <w:rPr>
          <w:rStyle w:val="Funotenzeichen"/>
          <w:rFonts w:ascii="Arial" w:hAnsi="Arial" w:cs="Arial"/>
          <w:sz w:val="20"/>
          <w:szCs w:val="20"/>
        </w:rPr>
        <w:footnoteReference w:id="2"/>
      </w:r>
    </w:p>
    <w:p w14:paraId="64AA1817" w14:textId="77777777" w:rsidR="007B63EC" w:rsidRDefault="0019081B" w:rsidP="0019081B">
      <w:pPr>
        <w:numPr>
          <w:ilvl w:val="0"/>
          <w:numId w:val="12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De-minimis-</w:t>
      </w:r>
      <w:r w:rsidR="007B63EC">
        <w:rPr>
          <w:rFonts w:ascii="Arial" w:hAnsi="Arial" w:cs="Arial"/>
          <w:sz w:val="20"/>
          <w:szCs w:val="20"/>
        </w:rPr>
        <w:t>Vero</w:t>
      </w:r>
      <w:r w:rsidR="004F4AFD">
        <w:rPr>
          <w:rFonts w:ascii="Arial" w:hAnsi="Arial" w:cs="Arial"/>
          <w:sz w:val="20"/>
          <w:szCs w:val="20"/>
        </w:rPr>
        <w:t>rdnung (Fischerei</w:t>
      </w:r>
      <w:r w:rsidR="007B63EC">
        <w:rPr>
          <w:rFonts w:ascii="Arial" w:hAnsi="Arial" w:cs="Arial"/>
          <w:sz w:val="20"/>
          <w:szCs w:val="20"/>
        </w:rPr>
        <w:t>)</w:t>
      </w:r>
      <w:r w:rsidR="004F4AFD">
        <w:rPr>
          <w:rStyle w:val="Funotenzeichen"/>
          <w:rFonts w:ascii="Arial" w:hAnsi="Arial" w:cs="Arial"/>
          <w:sz w:val="20"/>
          <w:szCs w:val="20"/>
        </w:rPr>
        <w:footnoteReference w:id="3"/>
      </w:r>
    </w:p>
    <w:p w14:paraId="6C6B228A" w14:textId="77777777" w:rsidR="00B24205" w:rsidRPr="0019081B" w:rsidRDefault="0019081B" w:rsidP="0019081B">
      <w:pPr>
        <w:numPr>
          <w:ilvl w:val="0"/>
          <w:numId w:val="12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De-minimis-</w:t>
      </w:r>
      <w:r w:rsidR="00B24205">
        <w:rPr>
          <w:rFonts w:ascii="Arial" w:hAnsi="Arial" w:cs="Arial"/>
          <w:sz w:val="20"/>
          <w:szCs w:val="20"/>
        </w:rPr>
        <w:t>Verordnung (DAWI)</w:t>
      </w:r>
      <w:r>
        <w:rPr>
          <w:rStyle w:val="Funotenzeichen"/>
          <w:rFonts w:ascii="Arial" w:hAnsi="Arial" w:cs="Arial"/>
          <w:sz w:val="20"/>
          <w:szCs w:val="20"/>
        </w:rPr>
        <w:footnoteReference w:id="4"/>
      </w:r>
    </w:p>
    <w:p w14:paraId="6518EF75" w14:textId="77777777" w:rsidR="00B24205" w:rsidRDefault="0019081B" w:rsidP="007B21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De-minimis-</w:t>
      </w:r>
      <w:r w:rsidR="00B24205">
        <w:rPr>
          <w:rFonts w:ascii="Arial" w:hAnsi="Arial" w:cs="Arial"/>
          <w:sz w:val="20"/>
          <w:szCs w:val="20"/>
        </w:rPr>
        <w:t>Verordnungen unterscheiden sich nach dem Wirtschaftsbereich</w:t>
      </w:r>
      <w:r w:rsidR="00DA0736">
        <w:rPr>
          <w:rFonts w:ascii="Arial" w:hAnsi="Arial" w:cs="Arial"/>
          <w:sz w:val="20"/>
          <w:szCs w:val="20"/>
        </w:rPr>
        <w:t>,</w:t>
      </w:r>
      <w:r w:rsidR="00B24205">
        <w:rPr>
          <w:rFonts w:ascii="Arial" w:hAnsi="Arial" w:cs="Arial"/>
          <w:sz w:val="20"/>
          <w:szCs w:val="20"/>
        </w:rPr>
        <w:t xml:space="preserve"> auf den sich die Förderung bezieht.</w:t>
      </w:r>
    </w:p>
    <w:p w14:paraId="08A747EE" w14:textId="77777777" w:rsidR="0019081B" w:rsidRPr="004333B3" w:rsidRDefault="0019081B" w:rsidP="00B2420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7F2292" w14:textId="77777777" w:rsidR="00B977CA" w:rsidRDefault="00B977CA" w:rsidP="007801B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Ausgenommene Wirtschaftsbereiche bei der Förderung nach der </w:t>
      </w:r>
      <w:r w:rsidR="00A5680F">
        <w:rPr>
          <w:rFonts w:ascii="Arial" w:hAnsi="Arial" w:cs="Arial"/>
          <w:b/>
          <w:sz w:val="20"/>
          <w:szCs w:val="20"/>
        </w:rPr>
        <w:t xml:space="preserve">allgemeinen </w:t>
      </w:r>
      <w:r w:rsidR="0019081B">
        <w:rPr>
          <w:rFonts w:ascii="Arial" w:hAnsi="Arial" w:cs="Arial"/>
          <w:b/>
          <w:sz w:val="20"/>
          <w:szCs w:val="20"/>
        </w:rPr>
        <w:t>De-minimis-</w:t>
      </w:r>
      <w:r>
        <w:rPr>
          <w:rFonts w:ascii="Arial" w:hAnsi="Arial" w:cs="Arial"/>
          <w:b/>
          <w:sz w:val="20"/>
          <w:szCs w:val="20"/>
        </w:rPr>
        <w:t>Verordnung</w:t>
      </w:r>
    </w:p>
    <w:p w14:paraId="6C5DFBDA" w14:textId="77777777" w:rsidR="00B977CA" w:rsidRPr="00B977CA" w:rsidRDefault="0019081B" w:rsidP="001908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De-minimis-</w:t>
      </w:r>
      <w:r w:rsidR="00B977CA" w:rsidRPr="00B977CA">
        <w:rPr>
          <w:rFonts w:ascii="Arial" w:hAnsi="Arial" w:cs="Arial"/>
          <w:sz w:val="20"/>
          <w:szCs w:val="20"/>
        </w:rPr>
        <w:t xml:space="preserve">Verordnung </w:t>
      </w:r>
      <w:r w:rsidR="00917EDB" w:rsidRPr="000E366A">
        <w:rPr>
          <w:rFonts w:ascii="Arial" w:hAnsi="Arial" w:cs="Arial"/>
          <w:sz w:val="20"/>
          <w:szCs w:val="20"/>
        </w:rPr>
        <w:t xml:space="preserve">(allgemein) </w:t>
      </w:r>
      <w:r w:rsidR="00B977CA" w:rsidRPr="000E366A">
        <w:rPr>
          <w:rFonts w:ascii="Arial" w:hAnsi="Arial" w:cs="Arial"/>
          <w:sz w:val="20"/>
          <w:szCs w:val="20"/>
        </w:rPr>
        <w:t>kann</w:t>
      </w:r>
      <w:r w:rsidR="00B977CA" w:rsidRPr="00B977CA">
        <w:rPr>
          <w:rFonts w:ascii="Arial" w:hAnsi="Arial" w:cs="Arial"/>
          <w:sz w:val="20"/>
          <w:szCs w:val="20"/>
        </w:rPr>
        <w:t xml:space="preserve"> </w:t>
      </w:r>
      <w:r w:rsidR="009E6364">
        <w:rPr>
          <w:rFonts w:ascii="Arial" w:hAnsi="Arial" w:cs="Arial"/>
          <w:sz w:val="20"/>
          <w:szCs w:val="20"/>
        </w:rPr>
        <w:t xml:space="preserve">z.B. </w:t>
      </w:r>
      <w:r w:rsidR="00B977CA" w:rsidRPr="00B977CA">
        <w:rPr>
          <w:rFonts w:ascii="Arial" w:hAnsi="Arial" w:cs="Arial"/>
          <w:sz w:val="20"/>
          <w:szCs w:val="20"/>
        </w:rPr>
        <w:t xml:space="preserve">von folgenden Unternehmen nicht genutzt werden: </w:t>
      </w:r>
    </w:p>
    <w:p w14:paraId="6C93B89A" w14:textId="77777777" w:rsidR="00B977CA" w:rsidRPr="00B977CA" w:rsidRDefault="00B977CA" w:rsidP="0019081B">
      <w:pPr>
        <w:pStyle w:val="Listenabsatz"/>
        <w:numPr>
          <w:ilvl w:val="0"/>
          <w:numId w:val="10"/>
        </w:numPr>
        <w:ind w:left="426" w:hanging="284"/>
        <w:rPr>
          <w:rFonts w:ascii="Arial" w:hAnsi="Arial" w:cs="Arial"/>
          <w:sz w:val="20"/>
          <w:szCs w:val="20"/>
        </w:rPr>
      </w:pPr>
      <w:r w:rsidRPr="00B977CA">
        <w:rPr>
          <w:rFonts w:ascii="Arial" w:hAnsi="Arial" w:cs="Arial"/>
          <w:sz w:val="20"/>
          <w:szCs w:val="20"/>
        </w:rPr>
        <w:t>Unternehmen der Primärproduktion von landwirtschaftlichen Er</w:t>
      </w:r>
      <w:r w:rsidR="009E6364">
        <w:rPr>
          <w:rFonts w:ascii="Arial" w:hAnsi="Arial" w:cs="Arial"/>
          <w:sz w:val="20"/>
          <w:szCs w:val="20"/>
        </w:rPr>
        <w:t>zeugnissen (s.</w:t>
      </w:r>
      <w:r w:rsidR="00DA0736">
        <w:rPr>
          <w:rFonts w:ascii="Arial" w:hAnsi="Arial" w:cs="Arial"/>
          <w:sz w:val="20"/>
          <w:szCs w:val="20"/>
        </w:rPr>
        <w:t> </w:t>
      </w:r>
      <w:r w:rsidR="009E6364">
        <w:rPr>
          <w:rFonts w:ascii="Arial" w:hAnsi="Arial" w:cs="Arial"/>
          <w:sz w:val="20"/>
          <w:szCs w:val="20"/>
        </w:rPr>
        <w:t>Anhang 1 des EG-V</w:t>
      </w:r>
      <w:r w:rsidRPr="00B977CA">
        <w:rPr>
          <w:rFonts w:ascii="Arial" w:hAnsi="Arial" w:cs="Arial"/>
          <w:sz w:val="20"/>
          <w:szCs w:val="20"/>
        </w:rPr>
        <w:t>ertrages)</w:t>
      </w:r>
    </w:p>
    <w:p w14:paraId="7A1DE70D" w14:textId="77777777" w:rsidR="00B977CA" w:rsidRDefault="00B977CA" w:rsidP="0019081B">
      <w:pPr>
        <w:pStyle w:val="Listenabsatz"/>
        <w:numPr>
          <w:ilvl w:val="0"/>
          <w:numId w:val="10"/>
        </w:numPr>
        <w:ind w:left="426" w:hanging="284"/>
        <w:rPr>
          <w:rFonts w:ascii="Arial" w:hAnsi="Arial" w:cs="Arial"/>
          <w:sz w:val="20"/>
          <w:szCs w:val="20"/>
        </w:rPr>
      </w:pPr>
      <w:r w:rsidRPr="000E366A">
        <w:rPr>
          <w:rFonts w:ascii="Arial" w:hAnsi="Arial" w:cs="Arial"/>
          <w:sz w:val="20"/>
          <w:szCs w:val="20"/>
        </w:rPr>
        <w:t>Unternehmen</w:t>
      </w:r>
      <w:r w:rsidR="00917EDB" w:rsidRPr="000E366A">
        <w:rPr>
          <w:rFonts w:ascii="Arial" w:hAnsi="Arial" w:cs="Arial"/>
          <w:sz w:val="20"/>
          <w:szCs w:val="20"/>
        </w:rPr>
        <w:t xml:space="preserve"> der Primärproduktion von Erzeugnissen</w:t>
      </w:r>
      <w:r w:rsidRPr="000E366A">
        <w:rPr>
          <w:rFonts w:ascii="Arial" w:hAnsi="Arial" w:cs="Arial"/>
          <w:sz w:val="20"/>
          <w:szCs w:val="20"/>
        </w:rPr>
        <w:t xml:space="preserve"> des</w:t>
      </w:r>
      <w:r w:rsidRPr="00B977CA">
        <w:rPr>
          <w:rFonts w:ascii="Arial" w:hAnsi="Arial" w:cs="Arial"/>
          <w:sz w:val="20"/>
          <w:szCs w:val="20"/>
        </w:rPr>
        <w:t xml:space="preserve"> Fischerei- und Aquakultursektors</w:t>
      </w:r>
    </w:p>
    <w:p w14:paraId="6835C858" w14:textId="77777777" w:rsidR="00497FE6" w:rsidRDefault="00497FE6" w:rsidP="009E6364">
      <w:pPr>
        <w:rPr>
          <w:rFonts w:ascii="Arial" w:hAnsi="Arial" w:cs="Arial"/>
          <w:sz w:val="20"/>
          <w:szCs w:val="20"/>
        </w:rPr>
      </w:pPr>
    </w:p>
    <w:p w14:paraId="7253C416" w14:textId="77777777" w:rsidR="009E6364" w:rsidRDefault="009E6364" w:rsidP="009E63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Zudem gilt die Verordnung z.B. nicht für: </w:t>
      </w:r>
    </w:p>
    <w:p w14:paraId="12968452" w14:textId="77777777" w:rsidR="009E6364" w:rsidRPr="00497FE6" w:rsidRDefault="009E6364" w:rsidP="006112EE">
      <w:pPr>
        <w:pStyle w:val="Listenabsatz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97FE6">
        <w:rPr>
          <w:rFonts w:ascii="Arial" w:hAnsi="Arial" w:cs="Arial"/>
          <w:sz w:val="20"/>
          <w:szCs w:val="20"/>
        </w:rPr>
        <w:t>Exportbezogene Tätigkeiten</w:t>
      </w:r>
      <w:r w:rsidR="00497FE6" w:rsidRPr="00497FE6">
        <w:rPr>
          <w:rFonts w:ascii="Arial" w:hAnsi="Arial" w:cs="Arial"/>
          <w:sz w:val="20"/>
          <w:szCs w:val="20"/>
        </w:rPr>
        <w:t>, sofern die Beihilfen, die unmittelbar mit den ausgeführten Mengen, mit</w:t>
      </w:r>
      <w:r w:rsidR="00FB563A">
        <w:rPr>
          <w:rFonts w:ascii="Arial" w:hAnsi="Arial" w:cs="Arial"/>
          <w:sz w:val="20"/>
          <w:szCs w:val="20"/>
        </w:rPr>
        <w:t xml:space="preserve"> </w:t>
      </w:r>
      <w:r w:rsidR="00FB563A" w:rsidRPr="000E366A">
        <w:rPr>
          <w:rFonts w:ascii="Arial" w:hAnsi="Arial" w:cs="Arial"/>
          <w:sz w:val="20"/>
          <w:szCs w:val="20"/>
        </w:rPr>
        <w:t>dem Aufbau</w:t>
      </w:r>
      <w:r w:rsidR="00497FE6" w:rsidRPr="00FB563A">
        <w:rPr>
          <w:rFonts w:ascii="Arial" w:hAnsi="Arial" w:cs="Arial"/>
          <w:color w:val="FF0000"/>
          <w:sz w:val="20"/>
          <w:szCs w:val="20"/>
        </w:rPr>
        <w:t xml:space="preserve"> </w:t>
      </w:r>
      <w:r w:rsidR="00497FE6" w:rsidRPr="00497FE6">
        <w:rPr>
          <w:rFonts w:ascii="Arial" w:hAnsi="Arial" w:cs="Arial"/>
          <w:sz w:val="20"/>
          <w:szCs w:val="20"/>
        </w:rPr>
        <w:t>und dem Betrieb eines Vertriebsnetzes oder mit anderen laufenden export</w:t>
      </w:r>
      <w:r w:rsidR="006112EE">
        <w:rPr>
          <w:rFonts w:ascii="Arial" w:hAnsi="Arial" w:cs="Arial"/>
          <w:sz w:val="20"/>
          <w:szCs w:val="20"/>
        </w:rPr>
        <w:t>-</w:t>
      </w:r>
      <w:r w:rsidR="00497FE6" w:rsidRPr="00497FE6">
        <w:rPr>
          <w:rFonts w:ascii="Arial" w:hAnsi="Arial" w:cs="Arial"/>
          <w:sz w:val="20"/>
          <w:szCs w:val="20"/>
        </w:rPr>
        <w:t>bezogenen Ausgaben in Zusammenhang stehen.</w:t>
      </w:r>
    </w:p>
    <w:p w14:paraId="335EE8E0" w14:textId="77777777" w:rsidR="00497FE6" w:rsidRPr="009E6364" w:rsidRDefault="00497FE6" w:rsidP="006112EE">
      <w:pPr>
        <w:pStyle w:val="Listenabsatz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Unternehmen, die sich in einem Insolvenzverfahren befinden oder die Voraussetzungen für die Eröffnung auf Antrag eines Gläubigers erfüllen</w:t>
      </w:r>
      <w:r w:rsidR="006112EE">
        <w:rPr>
          <w:rFonts w:ascii="Arial" w:hAnsi="Arial" w:cs="Arial"/>
          <w:sz w:val="20"/>
          <w:szCs w:val="20"/>
        </w:rPr>
        <w:t>.</w:t>
      </w:r>
    </w:p>
    <w:p w14:paraId="5B189DDC" w14:textId="77777777" w:rsidR="00B24205" w:rsidRDefault="00B24205">
      <w:pPr>
        <w:rPr>
          <w:rFonts w:ascii="Arial" w:hAnsi="Arial" w:cs="Arial"/>
          <w:b/>
          <w:sz w:val="20"/>
          <w:szCs w:val="20"/>
        </w:rPr>
      </w:pPr>
    </w:p>
    <w:p w14:paraId="5A6CDB82" w14:textId="77777777" w:rsidR="00A31868" w:rsidRPr="00B977CA" w:rsidRDefault="00A31868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977CA">
        <w:rPr>
          <w:rFonts w:ascii="Arial" w:hAnsi="Arial" w:cs="Arial"/>
          <w:b/>
          <w:sz w:val="20"/>
          <w:szCs w:val="20"/>
        </w:rPr>
        <w:t>Der Begriff des Unternehmens</w:t>
      </w:r>
    </w:p>
    <w:p w14:paraId="1D2DFB39" w14:textId="77777777" w:rsidR="00A31868" w:rsidRPr="00B977CA" w:rsidRDefault="00D3349D" w:rsidP="00E06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einem</w:t>
      </w:r>
      <w:r w:rsidR="00A31868" w:rsidRPr="00B977CA">
        <w:rPr>
          <w:rFonts w:ascii="Arial" w:hAnsi="Arial" w:cs="Arial"/>
          <w:sz w:val="20"/>
          <w:szCs w:val="20"/>
        </w:rPr>
        <w:t xml:space="preserve"> Unternehmen </w:t>
      </w:r>
      <w:r w:rsidR="007801B4">
        <w:rPr>
          <w:rFonts w:ascii="Arial" w:hAnsi="Arial" w:cs="Arial"/>
          <w:sz w:val="20"/>
          <w:szCs w:val="20"/>
        </w:rPr>
        <w:t xml:space="preserve">werden weitere </w:t>
      </w:r>
      <w:r w:rsidR="00A31868" w:rsidRPr="00B977CA">
        <w:rPr>
          <w:rFonts w:ascii="Arial" w:hAnsi="Arial" w:cs="Arial"/>
          <w:sz w:val="20"/>
          <w:szCs w:val="20"/>
        </w:rPr>
        <w:t>Einheiten</w:t>
      </w:r>
      <w:r w:rsidR="007801B4">
        <w:rPr>
          <w:rFonts w:ascii="Arial" w:hAnsi="Arial" w:cs="Arial"/>
          <w:sz w:val="20"/>
          <w:szCs w:val="20"/>
        </w:rPr>
        <w:t xml:space="preserve"> hinzugerechnet</w:t>
      </w:r>
      <w:r w:rsidR="00A31868" w:rsidRPr="00B977CA">
        <w:rPr>
          <w:rFonts w:ascii="Arial" w:hAnsi="Arial" w:cs="Arial"/>
          <w:sz w:val="20"/>
          <w:szCs w:val="20"/>
        </w:rPr>
        <w:t xml:space="preserve">, sofern </w:t>
      </w:r>
      <w:r w:rsidR="00C20746">
        <w:rPr>
          <w:rFonts w:ascii="Arial" w:hAnsi="Arial" w:cs="Arial"/>
          <w:sz w:val="20"/>
          <w:szCs w:val="20"/>
        </w:rPr>
        <w:t xml:space="preserve">mindestens </w:t>
      </w:r>
      <w:r w:rsidR="00A31868" w:rsidRPr="00B977CA">
        <w:rPr>
          <w:rFonts w:ascii="Arial" w:hAnsi="Arial" w:cs="Arial"/>
          <w:sz w:val="20"/>
          <w:szCs w:val="20"/>
        </w:rPr>
        <w:t xml:space="preserve">eine der folgenden Voraussetzungen erfüllt ist: </w:t>
      </w:r>
    </w:p>
    <w:p w14:paraId="080B69E4" w14:textId="77777777" w:rsidR="00A31868" w:rsidRPr="00B977CA" w:rsidRDefault="004442FC" w:rsidP="0019081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31868" w:rsidRPr="00B977CA">
        <w:rPr>
          <w:rFonts w:ascii="Arial" w:hAnsi="Arial" w:cs="Arial"/>
          <w:sz w:val="20"/>
          <w:szCs w:val="20"/>
        </w:rPr>
        <w:t>in Unternehmen hält die Mehrheit der Stimmrechte der Anteilseigner oder Gesel</w:t>
      </w:r>
      <w:r>
        <w:rPr>
          <w:rFonts w:ascii="Arial" w:hAnsi="Arial" w:cs="Arial"/>
          <w:sz w:val="20"/>
          <w:szCs w:val="20"/>
        </w:rPr>
        <w:t>lschafter einer anderen Einheit.</w:t>
      </w:r>
    </w:p>
    <w:p w14:paraId="38E9FB70" w14:textId="77777777" w:rsidR="00A31868" w:rsidRPr="00B977CA" w:rsidRDefault="004442FC" w:rsidP="0019081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87256" w:rsidRPr="00B977CA">
        <w:rPr>
          <w:rFonts w:ascii="Arial" w:hAnsi="Arial" w:cs="Arial"/>
          <w:sz w:val="20"/>
          <w:szCs w:val="20"/>
        </w:rPr>
        <w:t>in Unternehmen</w:t>
      </w:r>
      <w:r w:rsidR="00A31868" w:rsidRPr="00B977CA">
        <w:rPr>
          <w:rFonts w:ascii="Arial" w:hAnsi="Arial" w:cs="Arial"/>
          <w:sz w:val="20"/>
          <w:szCs w:val="20"/>
        </w:rPr>
        <w:t xml:space="preserve"> ist berechtigt, die Mehrheit der Mitglieder des Verwaltungs-, Leitungs- oder Aufsichtsgremiums einer anderen Einhei</w:t>
      </w:r>
      <w:r>
        <w:rPr>
          <w:rFonts w:ascii="Arial" w:hAnsi="Arial" w:cs="Arial"/>
          <w:sz w:val="20"/>
          <w:szCs w:val="20"/>
        </w:rPr>
        <w:t>t zu bestellen oder abzuberufen.</w:t>
      </w:r>
    </w:p>
    <w:p w14:paraId="035FC697" w14:textId="77777777" w:rsidR="00A31868" w:rsidRPr="00B977CA" w:rsidRDefault="004442FC" w:rsidP="0019081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87256" w:rsidRPr="00B977CA">
        <w:rPr>
          <w:rFonts w:ascii="Arial" w:hAnsi="Arial" w:cs="Arial"/>
          <w:sz w:val="20"/>
          <w:szCs w:val="20"/>
        </w:rPr>
        <w:t>in Unternehmen</w:t>
      </w:r>
      <w:r w:rsidR="00A31868" w:rsidRPr="00B977CA">
        <w:rPr>
          <w:rFonts w:ascii="Arial" w:hAnsi="Arial" w:cs="Arial"/>
          <w:sz w:val="20"/>
          <w:szCs w:val="20"/>
        </w:rPr>
        <w:t xml:space="preserve"> ist aufgrund eines Vertrages oder einer Klausel in der Satzung berechtigt, einen beherrsch</w:t>
      </w:r>
      <w:r w:rsidR="00DA0736">
        <w:rPr>
          <w:rFonts w:ascii="Arial" w:hAnsi="Arial" w:cs="Arial"/>
          <w:sz w:val="20"/>
          <w:szCs w:val="20"/>
        </w:rPr>
        <w:t>-</w:t>
      </w:r>
      <w:r w:rsidR="00A31868" w:rsidRPr="00B977CA">
        <w:rPr>
          <w:rFonts w:ascii="Arial" w:hAnsi="Arial" w:cs="Arial"/>
          <w:sz w:val="20"/>
          <w:szCs w:val="20"/>
        </w:rPr>
        <w:t>enden Einfluss au</w:t>
      </w:r>
      <w:r>
        <w:rPr>
          <w:rFonts w:ascii="Arial" w:hAnsi="Arial" w:cs="Arial"/>
          <w:sz w:val="20"/>
          <w:szCs w:val="20"/>
        </w:rPr>
        <w:t>f eine andere Einheit auszuüben.</w:t>
      </w:r>
    </w:p>
    <w:p w14:paraId="0C524C9A" w14:textId="77777777" w:rsidR="00D35538" w:rsidRDefault="004442FC" w:rsidP="0019081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87256" w:rsidRPr="00B977CA">
        <w:rPr>
          <w:rFonts w:ascii="Arial" w:hAnsi="Arial" w:cs="Arial"/>
          <w:sz w:val="20"/>
          <w:szCs w:val="20"/>
        </w:rPr>
        <w:t>in Unternehmen</w:t>
      </w:r>
      <w:r w:rsidR="00DA0736">
        <w:rPr>
          <w:rFonts w:ascii="Arial" w:hAnsi="Arial" w:cs="Arial"/>
          <w:sz w:val="20"/>
          <w:szCs w:val="20"/>
        </w:rPr>
        <w:t>, das</w:t>
      </w:r>
      <w:r w:rsidR="00A31868" w:rsidRPr="00B977CA">
        <w:rPr>
          <w:rFonts w:ascii="Arial" w:hAnsi="Arial" w:cs="Arial"/>
          <w:sz w:val="20"/>
          <w:szCs w:val="20"/>
        </w:rPr>
        <w:t xml:space="preserve"> Anteilseigner oder Gesellschafter einer anderen Einheit ist, übt gemäß einer getroffenen Vereinbarung die alleinige Kontrolle über die Mehrheit der Stimmrechte v</w:t>
      </w:r>
      <w:r w:rsidR="00DA0736">
        <w:rPr>
          <w:rFonts w:ascii="Arial" w:hAnsi="Arial" w:cs="Arial"/>
          <w:sz w:val="20"/>
          <w:szCs w:val="20"/>
        </w:rPr>
        <w:t>on dessen</w:t>
      </w:r>
      <w:r w:rsidR="00A31868" w:rsidRPr="00B977CA">
        <w:rPr>
          <w:rFonts w:ascii="Arial" w:hAnsi="Arial" w:cs="Arial"/>
          <w:sz w:val="20"/>
          <w:szCs w:val="20"/>
        </w:rPr>
        <w:t xml:space="preserve"> Anteilse</w:t>
      </w:r>
      <w:r>
        <w:rPr>
          <w:rFonts w:ascii="Arial" w:hAnsi="Arial" w:cs="Arial"/>
          <w:sz w:val="20"/>
          <w:szCs w:val="20"/>
        </w:rPr>
        <w:t>ignern oder Gesellschaftern aus.</w:t>
      </w:r>
    </w:p>
    <w:p w14:paraId="4C5156D5" w14:textId="77777777" w:rsidR="007801B4" w:rsidRDefault="007801B4" w:rsidP="0019081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Unternehmen, die über ein oder mehrere Unternehmen zueinander in einer der vorgenannten Beziehungen stehen, werden als ein einziges Unternehmen betrachtet.</w:t>
      </w:r>
    </w:p>
    <w:p w14:paraId="677D0DA2" w14:textId="77777777" w:rsidR="00E06332" w:rsidRDefault="00E06332" w:rsidP="00E06332">
      <w:pPr>
        <w:pStyle w:val="Listenabsatz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4380DB0A" w14:textId="77777777" w:rsidR="00E06332" w:rsidRDefault="00E06332" w:rsidP="00E06332">
      <w:pPr>
        <w:pStyle w:val="Listenabsatz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Angaben sind erforderlich, da</w:t>
      </w:r>
      <w:r w:rsidR="004442FC">
        <w:rPr>
          <w:rFonts w:ascii="Arial" w:hAnsi="Arial" w:cs="Arial"/>
          <w:sz w:val="20"/>
          <w:szCs w:val="20"/>
        </w:rPr>
        <w:t xml:space="preserve"> die ggf. zusammenzufassenden Unternehmens</w:t>
      </w:r>
      <w:r w:rsidR="00D9677D">
        <w:rPr>
          <w:rFonts w:ascii="Arial" w:hAnsi="Arial" w:cs="Arial"/>
          <w:sz w:val="20"/>
          <w:szCs w:val="20"/>
        </w:rPr>
        <w:t>-</w:t>
      </w:r>
      <w:r w:rsidR="004442FC">
        <w:rPr>
          <w:rFonts w:ascii="Arial" w:hAnsi="Arial" w:cs="Arial"/>
          <w:sz w:val="20"/>
          <w:szCs w:val="20"/>
        </w:rPr>
        <w:t>einheiten bei der Einhaltung der Höchstgrenzen</w:t>
      </w:r>
      <w:r>
        <w:rPr>
          <w:rFonts w:ascii="Arial" w:hAnsi="Arial" w:cs="Arial"/>
          <w:sz w:val="20"/>
          <w:szCs w:val="20"/>
        </w:rPr>
        <w:t xml:space="preserve"> der Förderung berücksichtigt werden müssen.</w:t>
      </w:r>
    </w:p>
    <w:p w14:paraId="415FEAA5" w14:textId="77777777" w:rsidR="00A5680F" w:rsidRDefault="00A5680F" w:rsidP="00E06332">
      <w:pPr>
        <w:pStyle w:val="Listenabsatz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7B997E2" w14:textId="77777777" w:rsidR="00A5680F" w:rsidRPr="00B977CA" w:rsidRDefault="00A5680F" w:rsidP="00E06332">
      <w:pPr>
        <w:pStyle w:val="Listenabsatz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beachten</w:t>
      </w:r>
      <w:r w:rsidR="007801B4">
        <w:rPr>
          <w:rFonts w:ascii="Arial" w:hAnsi="Arial" w:cs="Arial"/>
          <w:sz w:val="20"/>
          <w:szCs w:val="20"/>
        </w:rPr>
        <w:t xml:space="preserve"> sind in diesem Zusammenhang auch</w:t>
      </w:r>
      <w:r>
        <w:rPr>
          <w:rFonts w:ascii="Arial" w:hAnsi="Arial" w:cs="Arial"/>
          <w:sz w:val="20"/>
          <w:szCs w:val="20"/>
        </w:rPr>
        <w:t xml:space="preserve"> die unterschiedlichen</w:t>
      </w:r>
      <w:r w:rsidR="003C2C72">
        <w:rPr>
          <w:rFonts w:ascii="Arial" w:hAnsi="Arial" w:cs="Arial"/>
          <w:sz w:val="20"/>
          <w:szCs w:val="20"/>
        </w:rPr>
        <w:t xml:space="preserve"> Arten der De-minimis-</w:t>
      </w:r>
      <w:r w:rsidR="00183E31">
        <w:rPr>
          <w:rFonts w:ascii="Arial" w:hAnsi="Arial" w:cs="Arial"/>
          <w:sz w:val="20"/>
          <w:szCs w:val="20"/>
        </w:rPr>
        <w:t>Förderung, die durch die Unternehmen des Verbundes als ein einziges Unternehmen beantragt bzw. erhalten wurden.</w:t>
      </w:r>
    </w:p>
    <w:p w14:paraId="460467B5" w14:textId="77777777" w:rsidR="00A31868" w:rsidRDefault="00A31868">
      <w:pPr>
        <w:rPr>
          <w:rFonts w:ascii="Arial" w:hAnsi="Arial" w:cs="Arial"/>
          <w:b/>
          <w:sz w:val="20"/>
          <w:szCs w:val="20"/>
        </w:rPr>
      </w:pPr>
    </w:p>
    <w:p w14:paraId="320B63D8" w14:textId="77777777" w:rsidR="00183E31" w:rsidRDefault="00183E31" w:rsidP="00183E31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Fusion und Übernahmen</w:t>
      </w:r>
      <w:r w:rsidR="004442FC">
        <w:rPr>
          <w:rFonts w:ascii="Arial" w:hAnsi="Arial" w:cs="Arial"/>
          <w:b/>
          <w:sz w:val="20"/>
          <w:szCs w:val="20"/>
        </w:rPr>
        <w:t xml:space="preserve"> und gewährte Beihilfe</w:t>
      </w:r>
      <w:r w:rsidR="004A03D6">
        <w:rPr>
          <w:rFonts w:ascii="Arial" w:hAnsi="Arial" w:cs="Arial"/>
          <w:b/>
          <w:sz w:val="20"/>
          <w:szCs w:val="20"/>
        </w:rPr>
        <w:t>n an eines der Unternehmen</w:t>
      </w:r>
    </w:p>
    <w:p w14:paraId="7A022E2E" w14:textId="77777777" w:rsidR="00183E31" w:rsidRDefault="00E24893" w:rsidP="00E24893">
      <w:pPr>
        <w:jc w:val="both"/>
        <w:rPr>
          <w:rFonts w:ascii="Arial" w:hAnsi="Arial" w:cs="Arial"/>
          <w:sz w:val="20"/>
          <w:szCs w:val="20"/>
        </w:rPr>
      </w:pPr>
      <w:r w:rsidRPr="00E24893">
        <w:rPr>
          <w:rFonts w:ascii="Arial" w:hAnsi="Arial" w:cs="Arial"/>
          <w:sz w:val="20"/>
          <w:szCs w:val="20"/>
        </w:rPr>
        <w:t>In dem Falle von Fusionen oder Übernahmen</w:t>
      </w:r>
      <w:r>
        <w:rPr>
          <w:rFonts w:ascii="Arial" w:hAnsi="Arial" w:cs="Arial"/>
          <w:sz w:val="20"/>
          <w:szCs w:val="20"/>
        </w:rPr>
        <w:t xml:space="preserve"> sind alle D</w:t>
      </w:r>
      <w:r w:rsidR="00D9677D">
        <w:rPr>
          <w:rFonts w:ascii="Arial" w:hAnsi="Arial" w:cs="Arial"/>
          <w:sz w:val="20"/>
          <w:szCs w:val="20"/>
        </w:rPr>
        <w:t>e-minimis-Beihilfen, die den be</w:t>
      </w:r>
      <w:r>
        <w:rPr>
          <w:rFonts w:ascii="Arial" w:hAnsi="Arial" w:cs="Arial"/>
          <w:sz w:val="20"/>
          <w:szCs w:val="20"/>
        </w:rPr>
        <w:t>teiligten Unternehmen zuvor gewährt wurden, heranzuziehen, um zu ermitteln, ob</w:t>
      </w:r>
      <w:r w:rsidR="004442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 neue De-minimis-</w:t>
      </w:r>
      <w:r w:rsidR="001F0D83">
        <w:rPr>
          <w:rFonts w:ascii="Arial" w:hAnsi="Arial" w:cs="Arial"/>
          <w:sz w:val="20"/>
          <w:szCs w:val="20"/>
        </w:rPr>
        <w:t>Beihilfe für das neue bzw. über</w:t>
      </w:r>
      <w:r>
        <w:rPr>
          <w:rFonts w:ascii="Arial" w:hAnsi="Arial" w:cs="Arial"/>
          <w:sz w:val="20"/>
          <w:szCs w:val="20"/>
        </w:rPr>
        <w:t>neh</w:t>
      </w:r>
      <w:r w:rsidR="00D9677D">
        <w:rPr>
          <w:rFonts w:ascii="Arial" w:hAnsi="Arial" w:cs="Arial"/>
          <w:sz w:val="20"/>
          <w:szCs w:val="20"/>
        </w:rPr>
        <w:t>mende Unternehmen zu einer Über</w:t>
      </w:r>
      <w:r>
        <w:rPr>
          <w:rFonts w:ascii="Arial" w:hAnsi="Arial" w:cs="Arial"/>
          <w:sz w:val="20"/>
          <w:szCs w:val="20"/>
        </w:rPr>
        <w:t>schreitung des einschlägigen Höchstbetrages führt.</w:t>
      </w:r>
    </w:p>
    <w:p w14:paraId="40B29D50" w14:textId="77777777" w:rsidR="00E24893" w:rsidRDefault="00E24893" w:rsidP="00E248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Rechtmäßigkeit von vor der Fusion bzw. Übernahme gewährten De-minimis Beihilfen wird dadurch nicht in Frage gestellt.  </w:t>
      </w:r>
    </w:p>
    <w:p w14:paraId="1F49D09E" w14:textId="77777777" w:rsidR="004A03D6" w:rsidRPr="004A03D6" w:rsidRDefault="004A03D6" w:rsidP="004970C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4A03D6">
        <w:rPr>
          <w:rFonts w:ascii="Arial" w:hAnsi="Arial" w:cs="Arial"/>
          <w:b/>
          <w:sz w:val="20"/>
          <w:szCs w:val="20"/>
        </w:rPr>
        <w:t>Betriebsaufspaltungen</w:t>
      </w:r>
      <w:r w:rsidR="004970C4">
        <w:rPr>
          <w:rFonts w:ascii="Arial" w:hAnsi="Arial" w:cs="Arial"/>
          <w:b/>
          <w:sz w:val="20"/>
          <w:szCs w:val="20"/>
        </w:rPr>
        <w:t xml:space="preserve"> und Berücksichtigung der gewährten Beihilfen</w:t>
      </w:r>
    </w:p>
    <w:p w14:paraId="6DD50CF8" w14:textId="77777777" w:rsidR="00E24893" w:rsidRPr="00E24893" w:rsidRDefault="00E24893" w:rsidP="00E248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="004442F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ein Unternehmen aufgespalten, so werden die De-minimis-Beihilfen, die dem Unternehmen vor Aufspaltung gewährt wurden</w:t>
      </w:r>
      <w:r w:rsidR="004A03D6">
        <w:rPr>
          <w:rFonts w:ascii="Arial" w:hAnsi="Arial" w:cs="Arial"/>
          <w:sz w:val="20"/>
          <w:szCs w:val="20"/>
        </w:rPr>
        <w:t>,</w:t>
      </w:r>
      <w:r w:rsidR="004442FC">
        <w:rPr>
          <w:rFonts w:ascii="Arial" w:hAnsi="Arial" w:cs="Arial"/>
          <w:sz w:val="20"/>
          <w:szCs w:val="20"/>
        </w:rPr>
        <w:t xml:space="preserve"> demjenigen Unternehmen zugewiesen,</w:t>
      </w:r>
      <w:r w:rsidR="004A03D6">
        <w:rPr>
          <w:rFonts w:ascii="Arial" w:hAnsi="Arial" w:cs="Arial"/>
          <w:sz w:val="20"/>
          <w:szCs w:val="20"/>
        </w:rPr>
        <w:t xml:space="preserve"> dem die Beihilfen zugutekommen, also grundsätzlich dem Unternehmen, das die Geschäftsbereiche übernimmt. Ist eine solche Zurechnung nicht möglich, so werden die De-minimis-Beihilfen den neuen Unternehmen auf der Grundlage des Buchwertes ihres Eigenkapitals zum Zeitpunkt der Aufspaltung anteilig zugewiesen.</w:t>
      </w:r>
    </w:p>
    <w:p w14:paraId="215F828D" w14:textId="77777777" w:rsidR="0019081B" w:rsidRPr="00B977CA" w:rsidRDefault="0019081B">
      <w:pPr>
        <w:rPr>
          <w:rFonts w:ascii="Arial" w:hAnsi="Arial" w:cs="Arial"/>
          <w:b/>
          <w:sz w:val="20"/>
          <w:szCs w:val="20"/>
        </w:rPr>
      </w:pPr>
    </w:p>
    <w:p w14:paraId="682029D2" w14:textId="77777777" w:rsidR="00D35538" w:rsidRDefault="00D35538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977CA">
        <w:rPr>
          <w:rFonts w:ascii="Arial" w:hAnsi="Arial" w:cs="Arial"/>
          <w:b/>
          <w:sz w:val="20"/>
          <w:szCs w:val="20"/>
        </w:rPr>
        <w:t>Höchstgrenzen im Rahmen der Förderung</w:t>
      </w:r>
      <w:r w:rsidR="007801B4">
        <w:rPr>
          <w:rFonts w:ascii="Arial" w:hAnsi="Arial" w:cs="Arial"/>
          <w:b/>
          <w:sz w:val="20"/>
          <w:szCs w:val="20"/>
        </w:rPr>
        <w:t xml:space="preserve"> </w:t>
      </w:r>
    </w:p>
    <w:p w14:paraId="34F14BE2" w14:textId="77777777" w:rsidR="00362D43" w:rsidRPr="007801B4" w:rsidRDefault="007801B4" w:rsidP="004F4AFD">
      <w:pPr>
        <w:jc w:val="both"/>
        <w:rPr>
          <w:rFonts w:ascii="Arial" w:hAnsi="Arial" w:cs="Arial"/>
          <w:sz w:val="20"/>
          <w:szCs w:val="20"/>
        </w:rPr>
      </w:pPr>
      <w:r w:rsidRPr="007801B4">
        <w:rPr>
          <w:rFonts w:ascii="Arial" w:hAnsi="Arial" w:cs="Arial"/>
          <w:sz w:val="20"/>
          <w:szCs w:val="20"/>
        </w:rPr>
        <w:t xml:space="preserve">Die Höchstgrenzen sind abhängig </w:t>
      </w:r>
      <w:r w:rsidR="005528AD">
        <w:rPr>
          <w:rFonts w:ascii="Arial" w:hAnsi="Arial" w:cs="Arial"/>
          <w:sz w:val="20"/>
          <w:szCs w:val="20"/>
        </w:rPr>
        <w:t>von der betreffenden De-minimis-</w:t>
      </w:r>
      <w:r w:rsidRPr="007801B4">
        <w:rPr>
          <w:rFonts w:ascii="Arial" w:hAnsi="Arial" w:cs="Arial"/>
          <w:sz w:val="20"/>
          <w:szCs w:val="20"/>
        </w:rPr>
        <w:t>Verordnung</w:t>
      </w:r>
      <w:r>
        <w:rPr>
          <w:rFonts w:ascii="Arial" w:hAnsi="Arial" w:cs="Arial"/>
          <w:sz w:val="20"/>
          <w:szCs w:val="20"/>
        </w:rPr>
        <w:t>.</w:t>
      </w:r>
      <w:r w:rsidR="004F4AFD">
        <w:rPr>
          <w:rFonts w:ascii="Arial" w:hAnsi="Arial" w:cs="Arial"/>
          <w:sz w:val="20"/>
          <w:szCs w:val="20"/>
        </w:rPr>
        <w:t xml:space="preserve"> </w:t>
      </w:r>
      <w:r w:rsidR="004F4AFD" w:rsidRPr="004333B3">
        <w:rPr>
          <w:rFonts w:ascii="Arial" w:hAnsi="Arial" w:cs="Arial"/>
          <w:sz w:val="20"/>
          <w:szCs w:val="20"/>
        </w:rPr>
        <w:t>Die Höhe der gewäh</w:t>
      </w:r>
      <w:r w:rsidR="004F4AFD">
        <w:rPr>
          <w:rFonts w:ascii="Arial" w:hAnsi="Arial" w:cs="Arial"/>
          <w:sz w:val="20"/>
          <w:szCs w:val="20"/>
        </w:rPr>
        <w:t>rten De-minimis-Beihilfen darf</w:t>
      </w:r>
      <w:r w:rsidR="004F4AFD" w:rsidRPr="004333B3">
        <w:rPr>
          <w:rFonts w:ascii="Arial" w:hAnsi="Arial" w:cs="Arial"/>
          <w:sz w:val="20"/>
          <w:szCs w:val="20"/>
        </w:rPr>
        <w:t xml:space="preserve"> in einem Zeitraum von drei </w:t>
      </w:r>
      <w:r w:rsidR="006517A1">
        <w:rPr>
          <w:rFonts w:ascii="Arial" w:hAnsi="Arial" w:cs="Arial"/>
          <w:sz w:val="20"/>
          <w:szCs w:val="20"/>
        </w:rPr>
        <w:t xml:space="preserve">Jahren </w:t>
      </w:r>
      <w:r w:rsidR="005528AD">
        <w:rPr>
          <w:rFonts w:ascii="Arial" w:hAnsi="Arial" w:cs="Arial"/>
          <w:sz w:val="20"/>
          <w:szCs w:val="20"/>
        </w:rPr>
        <w:t>den nachfolgend</w:t>
      </w:r>
      <w:r w:rsidR="004F4AFD">
        <w:rPr>
          <w:rFonts w:ascii="Arial" w:hAnsi="Arial" w:cs="Arial"/>
          <w:sz w:val="20"/>
          <w:szCs w:val="20"/>
        </w:rPr>
        <w:t xml:space="preserve"> genannten Betrag nicht überschreiten</w:t>
      </w:r>
      <w:r w:rsidR="004442FC">
        <w:rPr>
          <w:rFonts w:ascii="Arial" w:hAnsi="Arial" w:cs="Arial"/>
          <w:sz w:val="20"/>
          <w:szCs w:val="20"/>
        </w:rPr>
        <w:t>:</w:t>
      </w:r>
    </w:p>
    <w:p w14:paraId="27F8FAD7" w14:textId="77777777" w:rsidR="007801B4" w:rsidRDefault="005528AD" w:rsidP="0019081B">
      <w:pPr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De-minimis-</w:t>
      </w:r>
      <w:r w:rsidR="007801B4">
        <w:rPr>
          <w:rFonts w:ascii="Arial" w:hAnsi="Arial" w:cs="Arial"/>
          <w:sz w:val="20"/>
          <w:szCs w:val="20"/>
        </w:rPr>
        <w:t>Verordnung (allgemein)</w:t>
      </w:r>
    </w:p>
    <w:p w14:paraId="15BBC680" w14:textId="77777777" w:rsidR="004F4AFD" w:rsidRDefault="004333B3" w:rsidP="0019081B">
      <w:pPr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333B3">
        <w:rPr>
          <w:rFonts w:ascii="Arial" w:hAnsi="Arial" w:cs="Arial"/>
          <w:sz w:val="20"/>
          <w:szCs w:val="20"/>
        </w:rPr>
        <w:t xml:space="preserve">max. EUR </w:t>
      </w:r>
      <w:r w:rsidR="006517A1">
        <w:rPr>
          <w:rFonts w:ascii="Arial" w:hAnsi="Arial" w:cs="Arial"/>
          <w:sz w:val="20"/>
          <w:szCs w:val="20"/>
        </w:rPr>
        <w:t>3</w:t>
      </w:r>
      <w:r w:rsidRPr="004333B3">
        <w:rPr>
          <w:rFonts w:ascii="Arial" w:hAnsi="Arial" w:cs="Arial"/>
          <w:sz w:val="20"/>
          <w:szCs w:val="20"/>
        </w:rPr>
        <w:t xml:space="preserve">00.000 </w:t>
      </w:r>
    </w:p>
    <w:p w14:paraId="5FBADF69" w14:textId="77777777" w:rsidR="007801B4" w:rsidRDefault="004A03D6" w:rsidP="0019081B">
      <w:pPr>
        <w:numPr>
          <w:ilvl w:val="0"/>
          <w:numId w:val="13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De-minimis-</w:t>
      </w:r>
      <w:r w:rsidR="007801B4">
        <w:rPr>
          <w:rFonts w:ascii="Arial" w:hAnsi="Arial" w:cs="Arial"/>
          <w:sz w:val="20"/>
          <w:szCs w:val="20"/>
        </w:rPr>
        <w:t>Verordnung (</w:t>
      </w:r>
      <w:proofErr w:type="spellStart"/>
      <w:r w:rsidR="007801B4">
        <w:rPr>
          <w:rFonts w:ascii="Arial" w:hAnsi="Arial" w:cs="Arial"/>
          <w:sz w:val="20"/>
          <w:szCs w:val="20"/>
        </w:rPr>
        <w:t>Agrar</w:t>
      </w:r>
      <w:proofErr w:type="spellEnd"/>
      <w:r w:rsidR="007801B4">
        <w:rPr>
          <w:rFonts w:ascii="Arial" w:hAnsi="Arial" w:cs="Arial"/>
          <w:sz w:val="20"/>
          <w:szCs w:val="20"/>
        </w:rPr>
        <w:t>)</w:t>
      </w:r>
    </w:p>
    <w:p w14:paraId="1F19A0DA" w14:textId="77777777" w:rsidR="004F4AFD" w:rsidRDefault="004F4AFD" w:rsidP="0019081B">
      <w:pPr>
        <w:numPr>
          <w:ilvl w:val="0"/>
          <w:numId w:val="15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max. EUR </w:t>
      </w:r>
      <w:r w:rsidR="006517A1">
        <w:rPr>
          <w:rFonts w:ascii="Arial" w:hAnsi="Arial" w:cs="Arial"/>
          <w:sz w:val="20"/>
          <w:szCs w:val="20"/>
        </w:rPr>
        <w:t>5</w:t>
      </w:r>
      <w:r w:rsidR="000A6807">
        <w:rPr>
          <w:rFonts w:ascii="Arial" w:hAnsi="Arial" w:cs="Arial"/>
          <w:sz w:val="20"/>
          <w:szCs w:val="20"/>
        </w:rPr>
        <w:t>0</w:t>
      </w:r>
      <w:r w:rsidR="005214C6">
        <w:rPr>
          <w:rFonts w:ascii="Arial" w:hAnsi="Arial" w:cs="Arial"/>
          <w:sz w:val="20"/>
          <w:szCs w:val="20"/>
        </w:rPr>
        <w:t>.000</w:t>
      </w:r>
    </w:p>
    <w:p w14:paraId="353C9FA4" w14:textId="77777777" w:rsidR="004F4AFD" w:rsidRDefault="004F4AFD" w:rsidP="0019081B">
      <w:pPr>
        <w:numPr>
          <w:ilvl w:val="0"/>
          <w:numId w:val="13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 (Fischerei und Aquakultur)</w:t>
      </w:r>
    </w:p>
    <w:p w14:paraId="71C52540" w14:textId="77777777" w:rsidR="004F4AFD" w:rsidRDefault="004F4AFD" w:rsidP="0019081B">
      <w:pPr>
        <w:numPr>
          <w:ilvl w:val="0"/>
          <w:numId w:val="15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max. EUR 30.000</w:t>
      </w:r>
    </w:p>
    <w:p w14:paraId="3332FDD0" w14:textId="77777777" w:rsidR="004F4AFD" w:rsidRDefault="004F4AFD" w:rsidP="0019081B">
      <w:pPr>
        <w:numPr>
          <w:ilvl w:val="0"/>
          <w:numId w:val="13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De-minimis (DAWI)</w:t>
      </w:r>
    </w:p>
    <w:p w14:paraId="463FEE40" w14:textId="77777777" w:rsidR="004F4AFD" w:rsidRDefault="004F4AFD" w:rsidP="0019081B">
      <w:pPr>
        <w:numPr>
          <w:ilvl w:val="0"/>
          <w:numId w:val="15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max. EUR </w:t>
      </w:r>
      <w:r w:rsidR="006517A1">
        <w:rPr>
          <w:rFonts w:ascii="Arial" w:hAnsi="Arial" w:cs="Arial"/>
          <w:sz w:val="20"/>
          <w:szCs w:val="20"/>
        </w:rPr>
        <w:t>750.000</w:t>
      </w:r>
    </w:p>
    <w:p w14:paraId="1DA3F75A" w14:textId="77777777" w:rsidR="00133C22" w:rsidRDefault="00133C22" w:rsidP="00133C2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654F2F7" w14:textId="77777777" w:rsidR="00133C22" w:rsidRPr="00BF4BED" w:rsidRDefault="00133C22" w:rsidP="00133C22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C03E1">
        <w:rPr>
          <w:rFonts w:ascii="Arial" w:hAnsi="Arial" w:cs="Arial"/>
          <w:b/>
          <w:bCs/>
          <w:sz w:val="20"/>
          <w:szCs w:val="20"/>
        </w:rPr>
        <w:t>Dreij</w:t>
      </w:r>
      <w:r w:rsidRPr="00BF4BED">
        <w:rPr>
          <w:rFonts w:ascii="Arial" w:hAnsi="Arial" w:cs="Arial"/>
          <w:b/>
          <w:bCs/>
          <w:sz w:val="20"/>
          <w:szCs w:val="20"/>
        </w:rPr>
        <w:t>ahreszeitraum</w:t>
      </w:r>
    </w:p>
    <w:p w14:paraId="73F9BB34" w14:textId="77777777" w:rsidR="00133C22" w:rsidRPr="00133C22" w:rsidRDefault="00133C22" w:rsidP="00133C22">
      <w:pPr>
        <w:pStyle w:val="Funotentext"/>
        <w:jc w:val="both"/>
        <w:rPr>
          <w:rFonts w:ascii="Aptos" w:hAnsi="Aptos" w:cs="Aptos"/>
          <w:sz w:val="16"/>
          <w:szCs w:val="16"/>
          <w:lang w:eastAsia="de-DE"/>
        </w:rPr>
      </w:pPr>
      <w:r w:rsidRPr="00BF4BED">
        <w:rPr>
          <w:rFonts w:ascii="Arial" w:hAnsi="Arial" w:cs="Arial"/>
          <w:lang w:val="de-DE"/>
        </w:rPr>
        <w:t xml:space="preserve">Bei </w:t>
      </w:r>
      <w:r w:rsidRPr="00BF4BED">
        <w:rPr>
          <w:rFonts w:ascii="Arial" w:hAnsi="Arial" w:cs="Arial"/>
        </w:rPr>
        <w:t xml:space="preserve">Betrachtung des </w:t>
      </w:r>
      <w:r w:rsidR="00BF4BED">
        <w:rPr>
          <w:rFonts w:ascii="Arial" w:hAnsi="Arial" w:cs="Arial"/>
        </w:rPr>
        <w:t>3-</w:t>
      </w:r>
      <w:r w:rsidRPr="00BF4BED">
        <w:rPr>
          <w:rFonts w:ascii="Arial" w:hAnsi="Arial" w:cs="Arial"/>
        </w:rPr>
        <w:t xml:space="preserve">Jahreszeitraumes </w:t>
      </w:r>
      <w:r w:rsidRPr="00BF4BED">
        <w:rPr>
          <w:rFonts w:ascii="Arial" w:hAnsi="Arial" w:cs="Arial"/>
          <w:lang w:val="de-DE"/>
        </w:rPr>
        <w:t>handelt es sich um einen rollierenden Zeitraum. Beispiel: verbindliche De-minimis-Erklärung am 01.06.2025 -&gt; Angabe welche De-minimis-Beihilfen das Unternehmen im Zeitraum vom 01.06.2022 bis zum 01.06.2025 bereits erhalten hat.</w:t>
      </w:r>
    </w:p>
    <w:p w14:paraId="4E8FB30D" w14:textId="77777777" w:rsidR="007801B4" w:rsidRPr="00133C22" w:rsidRDefault="007801B4" w:rsidP="00133C22">
      <w:pPr>
        <w:jc w:val="both"/>
        <w:rPr>
          <w:rFonts w:ascii="Arial" w:hAnsi="Arial" w:cs="Arial"/>
          <w:sz w:val="20"/>
          <w:szCs w:val="20"/>
          <w:lang w:val="x-none"/>
        </w:rPr>
      </w:pPr>
    </w:p>
    <w:p w14:paraId="79D4C89E" w14:textId="77777777" w:rsidR="007369A4" w:rsidRDefault="00D12679" w:rsidP="007801B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528AD">
        <w:rPr>
          <w:rFonts w:ascii="Arial" w:hAnsi="Arial" w:cs="Arial"/>
          <w:b/>
          <w:sz w:val="20"/>
          <w:szCs w:val="20"/>
        </w:rPr>
        <w:t>De-minimis-</w:t>
      </w:r>
      <w:r w:rsidR="007369A4" w:rsidRPr="007369A4">
        <w:rPr>
          <w:rFonts w:ascii="Arial" w:hAnsi="Arial" w:cs="Arial"/>
          <w:b/>
          <w:sz w:val="20"/>
          <w:szCs w:val="20"/>
        </w:rPr>
        <w:t>Bescheinigung</w:t>
      </w:r>
    </w:p>
    <w:p w14:paraId="73215FDD" w14:textId="77777777" w:rsidR="006112EE" w:rsidRDefault="007369A4" w:rsidP="004333B3">
      <w:pPr>
        <w:jc w:val="both"/>
        <w:rPr>
          <w:rFonts w:ascii="Arial" w:hAnsi="Arial" w:cs="Arial"/>
          <w:sz w:val="20"/>
          <w:szCs w:val="20"/>
        </w:rPr>
      </w:pPr>
      <w:r w:rsidRPr="007369A4">
        <w:rPr>
          <w:rFonts w:ascii="Arial" w:hAnsi="Arial" w:cs="Arial"/>
          <w:sz w:val="20"/>
          <w:szCs w:val="20"/>
        </w:rPr>
        <w:t>Dem Beihilfeempfänger wird durch die Bürgschaftsbank mitg</w:t>
      </w:r>
      <w:r w:rsidR="0019081B">
        <w:rPr>
          <w:rFonts w:ascii="Arial" w:hAnsi="Arial" w:cs="Arial"/>
          <w:sz w:val="20"/>
          <w:szCs w:val="20"/>
        </w:rPr>
        <w:t>eteilt, dass er</w:t>
      </w:r>
      <w:r w:rsidR="004442FC">
        <w:rPr>
          <w:rFonts w:ascii="Arial" w:hAnsi="Arial" w:cs="Arial"/>
          <w:sz w:val="20"/>
          <w:szCs w:val="20"/>
        </w:rPr>
        <w:t xml:space="preserve"> mit der Gewährung der Bürgschaft</w:t>
      </w:r>
      <w:r w:rsidR="0019081B">
        <w:rPr>
          <w:rFonts w:ascii="Arial" w:hAnsi="Arial" w:cs="Arial"/>
          <w:sz w:val="20"/>
          <w:szCs w:val="20"/>
        </w:rPr>
        <w:t xml:space="preserve"> eine De-minimis-</w:t>
      </w:r>
      <w:r w:rsidRPr="007369A4">
        <w:rPr>
          <w:rFonts w:ascii="Arial" w:hAnsi="Arial" w:cs="Arial"/>
          <w:sz w:val="20"/>
          <w:szCs w:val="20"/>
        </w:rPr>
        <w:t>Beihilfe erhalten hat.</w:t>
      </w:r>
      <w:r>
        <w:rPr>
          <w:rFonts w:ascii="Arial" w:hAnsi="Arial" w:cs="Arial"/>
          <w:sz w:val="20"/>
          <w:szCs w:val="20"/>
        </w:rPr>
        <w:t xml:space="preserve"> Die Bürgschaftsbank übermittelt die Informationen zu der gewährten Beihilfe in der De-minimis</w:t>
      </w:r>
      <w:r w:rsidR="0019081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Bescheinigung</w:t>
      </w:r>
      <w:r w:rsidR="00C20746">
        <w:rPr>
          <w:rFonts w:ascii="Arial" w:hAnsi="Arial" w:cs="Arial"/>
          <w:sz w:val="20"/>
          <w:szCs w:val="20"/>
        </w:rPr>
        <w:t xml:space="preserve"> an den Beihilfeempfänger bzw. an die beteiligten Institute</w:t>
      </w:r>
      <w:r>
        <w:rPr>
          <w:rFonts w:ascii="Arial" w:hAnsi="Arial" w:cs="Arial"/>
          <w:sz w:val="20"/>
          <w:szCs w:val="20"/>
        </w:rPr>
        <w:t>. In</w:t>
      </w:r>
      <w:r w:rsidR="00D26743">
        <w:rPr>
          <w:rFonts w:ascii="Arial" w:hAnsi="Arial" w:cs="Arial"/>
          <w:sz w:val="20"/>
          <w:szCs w:val="20"/>
        </w:rPr>
        <w:t xml:space="preserve"> dieser B</w:t>
      </w:r>
      <w:r>
        <w:rPr>
          <w:rFonts w:ascii="Arial" w:hAnsi="Arial" w:cs="Arial"/>
          <w:sz w:val="20"/>
          <w:szCs w:val="20"/>
        </w:rPr>
        <w:t>escheinigung wird die Höhe der erhaltenen Beihilfe mitgeteilt.</w:t>
      </w:r>
      <w:r w:rsidR="00D26743">
        <w:rPr>
          <w:rFonts w:ascii="Arial" w:hAnsi="Arial" w:cs="Arial"/>
          <w:sz w:val="20"/>
          <w:szCs w:val="20"/>
        </w:rPr>
        <w:t xml:space="preserve"> Hierdurch wird eine Einhaltung der o.g. Höchstgrenzen gewährleistet und überprüfbar gemacht.</w:t>
      </w:r>
    </w:p>
    <w:p w14:paraId="626794E6" w14:textId="77777777" w:rsidR="00FA767D" w:rsidRPr="007369A4" w:rsidRDefault="00FA767D" w:rsidP="004333B3">
      <w:pPr>
        <w:jc w:val="both"/>
        <w:rPr>
          <w:rFonts w:ascii="Arial" w:hAnsi="Arial" w:cs="Arial"/>
          <w:sz w:val="20"/>
          <w:szCs w:val="20"/>
        </w:rPr>
      </w:pPr>
    </w:p>
    <w:p w14:paraId="3AC81FE2" w14:textId="77777777" w:rsidR="00D35538" w:rsidRDefault="00D12679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26743">
        <w:rPr>
          <w:rFonts w:ascii="Arial" w:hAnsi="Arial" w:cs="Arial"/>
          <w:b/>
          <w:sz w:val="20"/>
          <w:szCs w:val="20"/>
        </w:rPr>
        <w:t xml:space="preserve">Kumulierung von </w:t>
      </w:r>
      <w:r w:rsidR="005528AD">
        <w:rPr>
          <w:rFonts w:ascii="Arial" w:hAnsi="Arial" w:cs="Arial"/>
          <w:b/>
          <w:sz w:val="20"/>
          <w:szCs w:val="20"/>
        </w:rPr>
        <w:t xml:space="preserve">verschiedenen </w:t>
      </w:r>
      <w:r w:rsidR="00D26743">
        <w:rPr>
          <w:rFonts w:ascii="Arial" w:hAnsi="Arial" w:cs="Arial"/>
          <w:b/>
          <w:sz w:val="20"/>
          <w:szCs w:val="20"/>
        </w:rPr>
        <w:t>Beihilfen</w:t>
      </w:r>
    </w:p>
    <w:p w14:paraId="2A7C0342" w14:textId="77777777" w:rsidR="00D26743" w:rsidRDefault="000E6E14" w:rsidP="000E6E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bestehen bestimmte Einschränkungen</w:t>
      </w:r>
      <w:r w:rsidRPr="000E6E14">
        <w:rPr>
          <w:rFonts w:ascii="Arial" w:hAnsi="Arial" w:cs="Arial"/>
          <w:sz w:val="20"/>
          <w:szCs w:val="20"/>
        </w:rPr>
        <w:t xml:space="preserve"> bei der </w:t>
      </w:r>
      <w:r w:rsidR="004367C0">
        <w:rPr>
          <w:rFonts w:ascii="Arial" w:hAnsi="Arial" w:cs="Arial"/>
          <w:sz w:val="20"/>
          <w:szCs w:val="20"/>
        </w:rPr>
        <w:t>Addition (</w:t>
      </w:r>
      <w:r w:rsidRPr="000E6E14">
        <w:rPr>
          <w:rFonts w:ascii="Arial" w:hAnsi="Arial" w:cs="Arial"/>
          <w:sz w:val="20"/>
          <w:szCs w:val="20"/>
        </w:rPr>
        <w:t>Kumulierung</w:t>
      </w:r>
      <w:r w:rsidR="004367C0">
        <w:rPr>
          <w:rFonts w:ascii="Arial" w:hAnsi="Arial" w:cs="Arial"/>
          <w:sz w:val="20"/>
          <w:szCs w:val="20"/>
        </w:rPr>
        <w:t>)</w:t>
      </w:r>
      <w:r w:rsidRPr="000E6E14">
        <w:rPr>
          <w:rFonts w:ascii="Arial" w:hAnsi="Arial" w:cs="Arial"/>
          <w:sz w:val="20"/>
          <w:szCs w:val="20"/>
        </w:rPr>
        <w:t xml:space="preserve"> von unter</w:t>
      </w:r>
      <w:r w:rsidR="004367C0">
        <w:rPr>
          <w:rFonts w:ascii="Arial" w:hAnsi="Arial" w:cs="Arial"/>
          <w:sz w:val="20"/>
          <w:szCs w:val="20"/>
        </w:rPr>
        <w:t>-</w:t>
      </w:r>
      <w:r w:rsidRPr="000E6E14">
        <w:rPr>
          <w:rFonts w:ascii="Arial" w:hAnsi="Arial" w:cs="Arial"/>
          <w:sz w:val="20"/>
          <w:szCs w:val="20"/>
        </w:rPr>
        <w:t>schiedlichen Beihilfen.</w:t>
      </w:r>
      <w:r w:rsidR="00AF7071">
        <w:rPr>
          <w:rFonts w:ascii="Arial" w:hAnsi="Arial" w:cs="Arial"/>
          <w:sz w:val="20"/>
          <w:szCs w:val="20"/>
        </w:rPr>
        <w:t xml:space="preserve"> Es können im Rahmen einer Finanzierung</w:t>
      </w:r>
      <w:r w:rsidR="00172951">
        <w:rPr>
          <w:rFonts w:ascii="Arial" w:hAnsi="Arial" w:cs="Arial"/>
          <w:sz w:val="20"/>
          <w:szCs w:val="20"/>
        </w:rPr>
        <w:t xml:space="preserve"> verschiedene Beihilfen beantragt bzw. vergeben werden.</w:t>
      </w:r>
      <w:r>
        <w:rPr>
          <w:rFonts w:ascii="Arial" w:hAnsi="Arial" w:cs="Arial"/>
          <w:sz w:val="20"/>
          <w:szCs w:val="20"/>
        </w:rPr>
        <w:t xml:space="preserve"> </w:t>
      </w:r>
      <w:r w:rsidR="004367C0">
        <w:rPr>
          <w:rFonts w:ascii="Arial" w:hAnsi="Arial" w:cs="Arial"/>
          <w:sz w:val="20"/>
          <w:szCs w:val="20"/>
        </w:rPr>
        <w:t>Begrenzungen bestehen insbesondere in den</w:t>
      </w:r>
      <w:r>
        <w:rPr>
          <w:rFonts w:ascii="Arial" w:hAnsi="Arial" w:cs="Arial"/>
          <w:sz w:val="20"/>
          <w:szCs w:val="20"/>
        </w:rPr>
        <w:t xml:space="preserve"> Fälle</w:t>
      </w:r>
      <w:r w:rsidR="004367C0"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z w:val="20"/>
          <w:szCs w:val="20"/>
        </w:rPr>
        <w:t xml:space="preserve"> in denen weitere Beihilfen für die gleichen förderbaren Ausgaben verwendet werden. </w:t>
      </w:r>
    </w:p>
    <w:p w14:paraId="7295D2DD" w14:textId="77777777" w:rsidR="00172951" w:rsidRDefault="00172951" w:rsidP="000E6E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Förderantrag wird daher nicht n</w:t>
      </w:r>
      <w:r w:rsidR="0019081B">
        <w:rPr>
          <w:rFonts w:ascii="Arial" w:hAnsi="Arial" w:cs="Arial"/>
          <w:sz w:val="20"/>
          <w:szCs w:val="20"/>
        </w:rPr>
        <w:t>ur abgefragt, welche De-minimis-</w:t>
      </w:r>
      <w:r>
        <w:rPr>
          <w:rFonts w:ascii="Arial" w:hAnsi="Arial" w:cs="Arial"/>
          <w:sz w:val="20"/>
          <w:szCs w:val="20"/>
        </w:rPr>
        <w:t>Beihilfen erhalten wurden, sondern ob weitere Beihilfen im Rahmen des Finanzierungsvorhabens beantragt wurden oder werden.</w:t>
      </w:r>
    </w:p>
    <w:p w14:paraId="78C76AF5" w14:textId="77777777" w:rsidR="00D35538" w:rsidRPr="00B977CA" w:rsidRDefault="00D12679" w:rsidP="007801B4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35538" w:rsidRPr="00B977CA">
        <w:rPr>
          <w:rFonts w:ascii="Arial" w:hAnsi="Arial" w:cs="Arial"/>
          <w:b/>
          <w:sz w:val="20"/>
          <w:szCs w:val="20"/>
        </w:rPr>
        <w:t>Verpflichtungen des Beihilfeempfängers</w:t>
      </w:r>
    </w:p>
    <w:p w14:paraId="155F30D1" w14:textId="77777777" w:rsidR="00D35538" w:rsidRPr="00B977CA" w:rsidRDefault="00D35538" w:rsidP="00A31868">
      <w:pPr>
        <w:jc w:val="both"/>
        <w:rPr>
          <w:rFonts w:ascii="Arial" w:hAnsi="Arial" w:cs="Arial"/>
          <w:sz w:val="20"/>
          <w:szCs w:val="20"/>
        </w:rPr>
      </w:pPr>
      <w:r w:rsidRPr="00B977CA">
        <w:rPr>
          <w:rFonts w:ascii="Arial" w:hAnsi="Arial" w:cs="Arial"/>
          <w:sz w:val="20"/>
          <w:szCs w:val="20"/>
        </w:rPr>
        <w:t xml:space="preserve">Der Empfänger der Beihilfe </w:t>
      </w:r>
      <w:r w:rsidR="0019081B">
        <w:rPr>
          <w:rFonts w:ascii="Arial" w:hAnsi="Arial" w:cs="Arial"/>
          <w:sz w:val="20"/>
          <w:szCs w:val="20"/>
        </w:rPr>
        <w:t>ist verpflichtet</w:t>
      </w:r>
      <w:r w:rsidR="00DA0736">
        <w:rPr>
          <w:rFonts w:ascii="Arial" w:hAnsi="Arial" w:cs="Arial"/>
          <w:sz w:val="20"/>
          <w:szCs w:val="20"/>
        </w:rPr>
        <w:t>,</w:t>
      </w:r>
      <w:r w:rsidR="0019081B">
        <w:rPr>
          <w:rFonts w:ascii="Arial" w:hAnsi="Arial" w:cs="Arial"/>
          <w:sz w:val="20"/>
          <w:szCs w:val="20"/>
        </w:rPr>
        <w:t xml:space="preserve"> die De-minimis-</w:t>
      </w:r>
      <w:r w:rsidRPr="00B977CA">
        <w:rPr>
          <w:rFonts w:ascii="Arial" w:hAnsi="Arial" w:cs="Arial"/>
          <w:sz w:val="20"/>
          <w:szCs w:val="20"/>
        </w:rPr>
        <w:t>Bescheinigung 10 Jahre lang aufzubewahren. Auf Anforderung von öffentlichen Stellen oder der Bürgschaftsbank sind diese Bescheinigungen umgehend spätestens mit einer gesetzten Frist vor</w:t>
      </w:r>
      <w:r w:rsidR="00E06332">
        <w:rPr>
          <w:rFonts w:ascii="Arial" w:hAnsi="Arial" w:cs="Arial"/>
          <w:sz w:val="20"/>
          <w:szCs w:val="20"/>
        </w:rPr>
        <w:t>-</w:t>
      </w:r>
      <w:r w:rsidRPr="00B977CA">
        <w:rPr>
          <w:rFonts w:ascii="Arial" w:hAnsi="Arial" w:cs="Arial"/>
          <w:sz w:val="20"/>
          <w:szCs w:val="20"/>
        </w:rPr>
        <w:t>zulegen.</w:t>
      </w:r>
    </w:p>
    <w:p w14:paraId="7FE0867B" w14:textId="77777777" w:rsidR="00D35538" w:rsidRDefault="00D35538" w:rsidP="00A31868">
      <w:pPr>
        <w:jc w:val="both"/>
        <w:rPr>
          <w:rFonts w:ascii="Arial" w:hAnsi="Arial" w:cs="Arial"/>
          <w:sz w:val="20"/>
          <w:szCs w:val="20"/>
        </w:rPr>
      </w:pPr>
      <w:r w:rsidRPr="00B977CA">
        <w:rPr>
          <w:rFonts w:ascii="Arial" w:hAnsi="Arial" w:cs="Arial"/>
          <w:sz w:val="20"/>
          <w:szCs w:val="20"/>
        </w:rPr>
        <w:t>Die Angaben</w:t>
      </w:r>
      <w:r w:rsidR="00E06332">
        <w:rPr>
          <w:rFonts w:ascii="Arial" w:hAnsi="Arial" w:cs="Arial"/>
          <w:sz w:val="20"/>
          <w:szCs w:val="20"/>
        </w:rPr>
        <w:t>,</w:t>
      </w:r>
      <w:r w:rsidRPr="00B977CA">
        <w:rPr>
          <w:rFonts w:ascii="Arial" w:hAnsi="Arial" w:cs="Arial"/>
          <w:sz w:val="20"/>
          <w:szCs w:val="20"/>
        </w:rPr>
        <w:t xml:space="preserve"> die der Antragsteller im </w:t>
      </w:r>
      <w:r w:rsidR="00A31868" w:rsidRPr="00B977CA">
        <w:rPr>
          <w:rFonts w:ascii="Arial" w:hAnsi="Arial" w:cs="Arial"/>
          <w:sz w:val="20"/>
          <w:szCs w:val="20"/>
        </w:rPr>
        <w:t>Antragsprozess macht</w:t>
      </w:r>
      <w:r w:rsidR="00E06332">
        <w:rPr>
          <w:rFonts w:ascii="Arial" w:hAnsi="Arial" w:cs="Arial"/>
          <w:sz w:val="20"/>
          <w:szCs w:val="20"/>
        </w:rPr>
        <w:t>,</w:t>
      </w:r>
      <w:r w:rsidR="00A31868" w:rsidRPr="00B977CA">
        <w:rPr>
          <w:rFonts w:ascii="Arial" w:hAnsi="Arial" w:cs="Arial"/>
          <w:sz w:val="20"/>
          <w:szCs w:val="20"/>
        </w:rPr>
        <w:t xml:space="preserve"> müssen inhaltlich richtig und vollständig sein. Im Falle von unrichtigen oder unvollständigen Angaben macht sich der Antragsteller des Subventionsbetruges strafbar gemäß § 264 StGB.</w:t>
      </w:r>
    </w:p>
    <w:p w14:paraId="6394249A" w14:textId="77777777" w:rsidR="008D2178" w:rsidRPr="0008233D" w:rsidRDefault="008D2178" w:rsidP="00A3186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4D14F7" w14:textId="77777777" w:rsidR="008D2178" w:rsidRPr="0008233D" w:rsidRDefault="008D2178" w:rsidP="006517A1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08233D">
        <w:rPr>
          <w:rFonts w:ascii="Arial" w:hAnsi="Arial" w:cs="Arial"/>
          <w:b/>
          <w:bCs/>
          <w:sz w:val="20"/>
          <w:szCs w:val="20"/>
        </w:rPr>
        <w:t>Deggendorf-Klausel</w:t>
      </w:r>
    </w:p>
    <w:p w14:paraId="392A2C96" w14:textId="77777777" w:rsidR="008D2178" w:rsidRPr="007C4A94" w:rsidRDefault="008D2178" w:rsidP="008D2178">
      <w:pPr>
        <w:jc w:val="both"/>
        <w:rPr>
          <w:rFonts w:ascii="Arial" w:hAnsi="Arial" w:cs="Arial"/>
          <w:sz w:val="20"/>
          <w:szCs w:val="20"/>
        </w:rPr>
      </w:pPr>
      <w:r w:rsidRPr="008D2178">
        <w:rPr>
          <w:rFonts w:ascii="Arial" w:hAnsi="Arial" w:cs="Arial"/>
          <w:sz w:val="20"/>
          <w:szCs w:val="20"/>
        </w:rPr>
        <w:t>Einem Unternehmen, das einer Rückforderungsanordnung aufgrund eines früheren Beschlusses der EU-Kommission zur Feststellung der Unzulässigkeit einer von demselben Mitgliedstatt gewährten Beihilfe und ihrer U</w:t>
      </w:r>
      <w:r w:rsidRPr="007C4A94">
        <w:rPr>
          <w:rFonts w:ascii="Arial" w:hAnsi="Arial" w:cs="Arial"/>
          <w:sz w:val="20"/>
          <w:szCs w:val="20"/>
        </w:rPr>
        <w:t>nvereinbarkeit mit dem Binnenmarkt nicht nachgekommen ist, darf keine Ausfallbürgschaft gewährt werden</w:t>
      </w:r>
      <w:r>
        <w:rPr>
          <w:rFonts w:ascii="Arial" w:hAnsi="Arial" w:cs="Arial"/>
          <w:sz w:val="20"/>
          <w:szCs w:val="20"/>
        </w:rPr>
        <w:t xml:space="preserve"> (s</w:t>
      </w:r>
      <w:r w:rsidRPr="008D21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g.</w:t>
      </w:r>
      <w:r w:rsidRPr="008D2178">
        <w:rPr>
          <w:rFonts w:ascii="Arial" w:hAnsi="Arial" w:cs="Arial"/>
          <w:sz w:val="20"/>
          <w:szCs w:val="20"/>
        </w:rPr>
        <w:t xml:space="preserve"> </w:t>
      </w:r>
      <w:r w:rsidRPr="007C4A94">
        <w:rPr>
          <w:rFonts w:ascii="Arial" w:hAnsi="Arial" w:cs="Arial"/>
          <w:sz w:val="20"/>
          <w:szCs w:val="20"/>
        </w:rPr>
        <w:t>Deggendorf-Klausel)</w:t>
      </w:r>
    </w:p>
    <w:sectPr w:rsidR="008D2178" w:rsidRPr="007C4A94" w:rsidSect="0058725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832D" w14:textId="77777777" w:rsidR="005A595E" w:rsidRDefault="005A595E" w:rsidP="0048328B">
      <w:pPr>
        <w:spacing w:after="0" w:line="240" w:lineRule="auto"/>
      </w:pPr>
      <w:r>
        <w:separator/>
      </w:r>
    </w:p>
  </w:endnote>
  <w:endnote w:type="continuationSeparator" w:id="0">
    <w:p w14:paraId="1E69F60A" w14:textId="77777777" w:rsidR="005A595E" w:rsidRDefault="005A595E" w:rsidP="004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8CE2" w14:textId="77777777" w:rsidR="00E24893" w:rsidRDefault="00E2489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5F5">
      <w:rPr>
        <w:noProof/>
      </w:rPr>
      <w:t>1</w:t>
    </w:r>
    <w:r>
      <w:fldChar w:fldCharType="end"/>
    </w:r>
  </w:p>
  <w:p w14:paraId="2E297D63" w14:textId="77777777" w:rsidR="00E24893" w:rsidRDefault="00E248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71DB" w14:textId="77777777" w:rsidR="005A595E" w:rsidRDefault="005A595E" w:rsidP="0048328B">
      <w:pPr>
        <w:spacing w:after="0" w:line="240" w:lineRule="auto"/>
      </w:pPr>
      <w:r>
        <w:separator/>
      </w:r>
    </w:p>
  </w:footnote>
  <w:footnote w:type="continuationSeparator" w:id="0">
    <w:p w14:paraId="09ED8A11" w14:textId="77777777" w:rsidR="005A595E" w:rsidRDefault="005A595E" w:rsidP="0048328B">
      <w:pPr>
        <w:spacing w:after="0" w:line="240" w:lineRule="auto"/>
      </w:pPr>
      <w:r>
        <w:continuationSeparator/>
      </w:r>
    </w:p>
  </w:footnote>
  <w:footnote w:id="1">
    <w:p w14:paraId="137A1A47" w14:textId="77777777" w:rsidR="00E24893" w:rsidRPr="006517A1" w:rsidRDefault="00E24893">
      <w:pPr>
        <w:pStyle w:val="Funotentext"/>
        <w:rPr>
          <w:rFonts w:cs="Arial"/>
          <w:sz w:val="16"/>
        </w:rPr>
      </w:pPr>
      <w:r w:rsidRPr="00B24205">
        <w:rPr>
          <w:rStyle w:val="Funotenzeichen"/>
          <w:rFonts w:cs="Arial"/>
          <w:sz w:val="16"/>
          <w:szCs w:val="16"/>
        </w:rPr>
        <w:footnoteRef/>
      </w:r>
      <w:r w:rsidRPr="00B24205">
        <w:rPr>
          <w:rFonts w:cs="Arial"/>
          <w:sz w:val="16"/>
          <w:szCs w:val="16"/>
        </w:rPr>
        <w:t xml:space="preserve"> </w:t>
      </w:r>
      <w:r w:rsidR="006517A1" w:rsidRPr="006517A1">
        <w:rPr>
          <w:sz w:val="16"/>
          <w:szCs w:val="16"/>
        </w:rPr>
        <w:t xml:space="preserve">im Sinne der Verordnung (EU) Nr. 1407/2013 der Kommission vom 18. Dezember 2013 und der Verordnung (EU) Nr. 2023/2831 vom 13. Dezember 2023 über die Anwendung der Artikel 107 und 108 des Vertrages über die Arbeitsweise der Europäischen Union auf De-minimis-Beihilfen, veröffentlicht im Amtsblatt der Europäischen Union L 352/1 vom 24. Dezember 2013 bzw. Reihe L vom 15. </w:t>
      </w:r>
      <w:r w:rsidR="006517A1" w:rsidRPr="006517A1">
        <w:rPr>
          <w:rFonts w:cs="Arial"/>
          <w:sz w:val="16"/>
          <w:szCs w:val="16"/>
        </w:rPr>
        <w:t>Dezember</w:t>
      </w:r>
      <w:r w:rsidR="006517A1" w:rsidRPr="006517A1">
        <w:rPr>
          <w:sz w:val="16"/>
          <w:szCs w:val="16"/>
        </w:rPr>
        <w:t xml:space="preserve"> 2023</w:t>
      </w:r>
      <w:r w:rsidR="000E366A">
        <w:rPr>
          <w:sz w:val="16"/>
          <w:szCs w:val="16"/>
        </w:rPr>
        <w:t>.</w:t>
      </w:r>
    </w:p>
  </w:footnote>
  <w:footnote w:id="2">
    <w:p w14:paraId="4E4ED362" w14:textId="77777777" w:rsidR="00E24893" w:rsidRPr="00047CC2" w:rsidRDefault="00E24893">
      <w:pPr>
        <w:pStyle w:val="Funotentext"/>
        <w:rPr>
          <w:rFonts w:cs="Arial"/>
          <w:sz w:val="16"/>
          <w:szCs w:val="16"/>
          <w:lang w:val="de-DE"/>
        </w:rPr>
      </w:pPr>
      <w:r w:rsidRPr="00B24205">
        <w:rPr>
          <w:rStyle w:val="Funotenzeichen"/>
          <w:rFonts w:cs="Arial"/>
          <w:sz w:val="16"/>
          <w:szCs w:val="16"/>
        </w:rPr>
        <w:footnoteRef/>
      </w:r>
      <w:r w:rsidRPr="00B24205">
        <w:rPr>
          <w:rFonts w:cs="Arial"/>
          <w:sz w:val="16"/>
          <w:szCs w:val="16"/>
        </w:rPr>
        <w:t xml:space="preserve"> </w:t>
      </w:r>
      <w:r w:rsidR="006517A1">
        <w:rPr>
          <w:rFonts w:cs="Arial"/>
          <w:sz w:val="16"/>
        </w:rPr>
        <w:t>im Sinne der Verordnung (EU) Nr. 1408/2013 der Kommission vom 18. Dezember 2013 und der Verordnung (EU) Nr2024/3118 vom 10. Dezember 2024 über die Anwendung der Artikel 107 und 108 des Vertrages über die Arbeitsweise der Europäischen Union auf De-minimis-Beihilfen im Agrarsektor, veröffentlicht im Amtsblatt der Europäischen Union L 352/9 vom 24. Dezember 2013 bzw. Reihe L vom 13. Dezember 2024</w:t>
      </w:r>
      <w:r w:rsidR="000E366A">
        <w:rPr>
          <w:rFonts w:cs="Arial"/>
          <w:sz w:val="16"/>
        </w:rPr>
        <w:t>.</w:t>
      </w:r>
    </w:p>
  </w:footnote>
  <w:footnote w:id="3">
    <w:p w14:paraId="41103C48" w14:textId="77777777" w:rsidR="00E24893" w:rsidRPr="003706BC" w:rsidRDefault="00E24893">
      <w:pPr>
        <w:pStyle w:val="Funotentext"/>
        <w:rPr>
          <w:sz w:val="16"/>
          <w:szCs w:val="16"/>
          <w:lang w:val="de-DE"/>
        </w:rPr>
      </w:pPr>
      <w:r w:rsidRPr="0019081B">
        <w:rPr>
          <w:rStyle w:val="Funotenzeichen"/>
          <w:sz w:val="16"/>
          <w:szCs w:val="16"/>
        </w:rPr>
        <w:footnoteRef/>
      </w:r>
      <w:r w:rsidR="006517A1">
        <w:rPr>
          <w:rFonts w:cs="Arial"/>
          <w:sz w:val="16"/>
        </w:rPr>
        <w:t>im Sinne der Verordnung (EU) Nr. 717/2014 der Kommission vom 27. Juni 2014 und der Verordnung (EU) Nr. 2023/2391 vom 04. Oktober 2023 über die Anwendung der Artikel 107 und 108 des Vertrages über die Arbeitsweise der Europäischen Union auf De-minimis-Beihilfen im Fischerei- und Aquakultursektor, veröffentlicht im Amtsblatt der Europäischen Union L 190/45 vom 28. Juni 2014 bzw. Reihe L vom 05. Oktober 2023</w:t>
      </w:r>
      <w:r w:rsidR="000E366A">
        <w:rPr>
          <w:rFonts w:cs="Arial"/>
          <w:sz w:val="16"/>
          <w:lang w:val="de-DE"/>
        </w:rPr>
        <w:t>.</w:t>
      </w:r>
    </w:p>
  </w:footnote>
  <w:footnote w:id="4">
    <w:p w14:paraId="26E55C4A" w14:textId="77777777" w:rsidR="00E24893" w:rsidRPr="003706BC" w:rsidRDefault="00E24893">
      <w:pPr>
        <w:pStyle w:val="Funotentext"/>
        <w:rPr>
          <w:lang w:val="de-DE"/>
        </w:rPr>
      </w:pPr>
      <w:r w:rsidRPr="0019081B">
        <w:rPr>
          <w:rStyle w:val="Funotenzeichen"/>
          <w:sz w:val="16"/>
          <w:szCs w:val="16"/>
        </w:rPr>
        <w:footnoteRef/>
      </w:r>
      <w:r w:rsidRPr="0019081B">
        <w:rPr>
          <w:sz w:val="16"/>
          <w:szCs w:val="16"/>
        </w:rPr>
        <w:t xml:space="preserve"> </w:t>
      </w:r>
      <w:r w:rsidR="006517A1">
        <w:rPr>
          <w:rFonts w:cs="Arial"/>
          <w:sz w:val="16"/>
        </w:rPr>
        <w:t>im Sinne der Verordnung (EU) Nr. 360/2012 der Kommission vom 25. April 2012, der Verordnung (EU) Nr. 2023/2391 vom 4. Oktober 2023 und der Verordnung (EU) Nr. 2023/2832 vom 13. Dezember 2023 über die Anwendung der Artikel 107 und 108 des Vertrags über die Arbeitsweise der Europäischen Union auf De-minimis-Beihilfen an Unternehmen, die Dienstleistungen von allgemeinem wirtschaftlichen Interesse erbringen, veröffentlicht im Amtsblatt der Europäischen Union</w:t>
      </w:r>
      <w:r w:rsidR="006517A1">
        <w:rPr>
          <w:rFonts w:cs="Arial"/>
          <w:strike/>
          <w:color w:val="FF0000"/>
          <w:sz w:val="16"/>
        </w:rPr>
        <w:t xml:space="preserve"> </w:t>
      </w:r>
      <w:r w:rsidR="006517A1">
        <w:rPr>
          <w:rFonts w:cs="Arial"/>
          <w:sz w:val="16"/>
        </w:rPr>
        <w:t>L 114/8 vom 26. April 2012 bzw. Reihe L vom 05. Oktober 2023 bzw. Reihe L vom 15. Dezember 2023</w:t>
      </w:r>
      <w:r w:rsidR="003706BC">
        <w:rPr>
          <w:rStyle w:val="Standard1"/>
          <w:rFonts w:cs="Arial"/>
          <w:sz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2B84" w14:textId="77777777" w:rsidR="00E24893" w:rsidRPr="00C072D6" w:rsidRDefault="009C03E1" w:rsidP="00B977CA">
    <w:pPr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Allgemeine Informationen zu Beihilfen</w:t>
    </w:r>
    <w:r w:rsidR="00436780">
      <w:rPr>
        <w:rFonts w:ascii="Arial" w:hAnsi="Arial" w:cs="Arial"/>
        <w:b/>
        <w:sz w:val="24"/>
        <w:szCs w:val="24"/>
        <w:u w:val="single"/>
      </w:rPr>
      <w:t xml:space="preserve"> (für den Antragssteller)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7EC"/>
    <w:multiLevelType w:val="hybridMultilevel"/>
    <w:tmpl w:val="D4541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551"/>
    <w:multiLevelType w:val="hybridMultilevel"/>
    <w:tmpl w:val="7F08EC26"/>
    <w:lvl w:ilvl="0" w:tplc="D9DEAE12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7F7885"/>
    <w:multiLevelType w:val="hybridMultilevel"/>
    <w:tmpl w:val="384AFF90"/>
    <w:lvl w:ilvl="0" w:tplc="6C127064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515710"/>
    <w:multiLevelType w:val="hybridMultilevel"/>
    <w:tmpl w:val="894A728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818"/>
    <w:multiLevelType w:val="hybridMultilevel"/>
    <w:tmpl w:val="E2C2D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498"/>
    <w:multiLevelType w:val="hybridMultilevel"/>
    <w:tmpl w:val="362A7B30"/>
    <w:lvl w:ilvl="0" w:tplc="4636E7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5AF9"/>
    <w:multiLevelType w:val="hybridMultilevel"/>
    <w:tmpl w:val="8056EFD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C5F11"/>
    <w:multiLevelType w:val="hybridMultilevel"/>
    <w:tmpl w:val="959E63D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FE7"/>
    <w:multiLevelType w:val="hybridMultilevel"/>
    <w:tmpl w:val="88FCA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5BFA"/>
    <w:multiLevelType w:val="hybridMultilevel"/>
    <w:tmpl w:val="8A345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463F"/>
    <w:multiLevelType w:val="hybridMultilevel"/>
    <w:tmpl w:val="6722EB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EFE"/>
    <w:multiLevelType w:val="hybridMultilevel"/>
    <w:tmpl w:val="CC7E931C"/>
    <w:lvl w:ilvl="0" w:tplc="02E2D4CA">
      <w:numFmt w:val="bullet"/>
      <w:lvlText w:val="-"/>
      <w:lvlJc w:val="left"/>
      <w:pPr>
        <w:ind w:left="720" w:hanging="360"/>
      </w:pPr>
      <w:rPr>
        <w:rFonts w:ascii="Univers" w:eastAsia="Calibri" w:hAnsi="Univers" w:cs="Univer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A7A11"/>
    <w:multiLevelType w:val="hybridMultilevel"/>
    <w:tmpl w:val="8D36DD58"/>
    <w:lvl w:ilvl="0" w:tplc="2D4C0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E4118"/>
    <w:multiLevelType w:val="hybridMultilevel"/>
    <w:tmpl w:val="FBB875A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97982"/>
    <w:multiLevelType w:val="hybridMultilevel"/>
    <w:tmpl w:val="644AC3AC"/>
    <w:lvl w:ilvl="0" w:tplc="02E2D4CA">
      <w:numFmt w:val="bullet"/>
      <w:lvlText w:val="-"/>
      <w:lvlJc w:val="left"/>
      <w:pPr>
        <w:ind w:left="720" w:hanging="360"/>
      </w:pPr>
      <w:rPr>
        <w:rFonts w:ascii="Univers" w:eastAsia="Calibri" w:hAnsi="Univers" w:cs="Univer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15501">
    <w:abstractNumId w:val="11"/>
  </w:num>
  <w:num w:numId="2" w16cid:durableId="1901013590">
    <w:abstractNumId w:val="14"/>
  </w:num>
  <w:num w:numId="3" w16cid:durableId="1820421586">
    <w:abstractNumId w:val="12"/>
  </w:num>
  <w:num w:numId="4" w16cid:durableId="1440569530">
    <w:abstractNumId w:val="8"/>
  </w:num>
  <w:num w:numId="5" w16cid:durableId="725300900">
    <w:abstractNumId w:val="4"/>
  </w:num>
  <w:num w:numId="6" w16cid:durableId="1891768766">
    <w:abstractNumId w:val="9"/>
  </w:num>
  <w:num w:numId="7" w16cid:durableId="1363483644">
    <w:abstractNumId w:val="5"/>
  </w:num>
  <w:num w:numId="8" w16cid:durableId="1332946641">
    <w:abstractNumId w:val="0"/>
  </w:num>
  <w:num w:numId="9" w16cid:durableId="1686514270">
    <w:abstractNumId w:val="13"/>
  </w:num>
  <w:num w:numId="10" w16cid:durableId="549994956">
    <w:abstractNumId w:val="7"/>
  </w:num>
  <w:num w:numId="11" w16cid:durableId="1945306025">
    <w:abstractNumId w:val="6"/>
  </w:num>
  <w:num w:numId="12" w16cid:durableId="686978811">
    <w:abstractNumId w:val="3"/>
  </w:num>
  <w:num w:numId="13" w16cid:durableId="1046681508">
    <w:abstractNumId w:val="10"/>
  </w:num>
  <w:num w:numId="14" w16cid:durableId="412166074">
    <w:abstractNumId w:val="1"/>
  </w:num>
  <w:num w:numId="15" w16cid:durableId="1346714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28B"/>
    <w:rsid w:val="000127D5"/>
    <w:rsid w:val="00047CC2"/>
    <w:rsid w:val="0008233D"/>
    <w:rsid w:val="00093EB0"/>
    <w:rsid w:val="000A6807"/>
    <w:rsid w:val="000B5115"/>
    <w:rsid w:val="000B5C22"/>
    <w:rsid w:val="000E366A"/>
    <w:rsid w:val="000E6E14"/>
    <w:rsid w:val="000F7265"/>
    <w:rsid w:val="001058ED"/>
    <w:rsid w:val="00110BF1"/>
    <w:rsid w:val="00117C3C"/>
    <w:rsid w:val="00133C22"/>
    <w:rsid w:val="00147DDA"/>
    <w:rsid w:val="00172951"/>
    <w:rsid w:val="00183E31"/>
    <w:rsid w:val="0019081B"/>
    <w:rsid w:val="001D2BE1"/>
    <w:rsid w:val="001F0D83"/>
    <w:rsid w:val="00224DB8"/>
    <w:rsid w:val="00251FFE"/>
    <w:rsid w:val="00261D18"/>
    <w:rsid w:val="00265A15"/>
    <w:rsid w:val="00307EBF"/>
    <w:rsid w:val="00345C4B"/>
    <w:rsid w:val="00362D43"/>
    <w:rsid w:val="003706BC"/>
    <w:rsid w:val="003733B9"/>
    <w:rsid w:val="00377E86"/>
    <w:rsid w:val="00380E28"/>
    <w:rsid w:val="003C2C72"/>
    <w:rsid w:val="00402F03"/>
    <w:rsid w:val="00407BB3"/>
    <w:rsid w:val="004333B3"/>
    <w:rsid w:val="00436780"/>
    <w:rsid w:val="004367C0"/>
    <w:rsid w:val="004442FC"/>
    <w:rsid w:val="0046039F"/>
    <w:rsid w:val="0048328B"/>
    <w:rsid w:val="004970C4"/>
    <w:rsid w:val="00497FE6"/>
    <w:rsid w:val="004A03D6"/>
    <w:rsid w:val="004F4AFD"/>
    <w:rsid w:val="005214C6"/>
    <w:rsid w:val="005528AD"/>
    <w:rsid w:val="00562439"/>
    <w:rsid w:val="00577805"/>
    <w:rsid w:val="00587256"/>
    <w:rsid w:val="005A595E"/>
    <w:rsid w:val="005F2917"/>
    <w:rsid w:val="006112EE"/>
    <w:rsid w:val="006471FE"/>
    <w:rsid w:val="006517A1"/>
    <w:rsid w:val="006614D5"/>
    <w:rsid w:val="007369A4"/>
    <w:rsid w:val="00736ABA"/>
    <w:rsid w:val="007437D7"/>
    <w:rsid w:val="007801B4"/>
    <w:rsid w:val="00797334"/>
    <w:rsid w:val="007A5A67"/>
    <w:rsid w:val="007B218B"/>
    <w:rsid w:val="007B63EC"/>
    <w:rsid w:val="007C389C"/>
    <w:rsid w:val="007C4A94"/>
    <w:rsid w:val="008031CF"/>
    <w:rsid w:val="00830A07"/>
    <w:rsid w:val="00836CE1"/>
    <w:rsid w:val="0086585A"/>
    <w:rsid w:val="008D2178"/>
    <w:rsid w:val="008D3AB9"/>
    <w:rsid w:val="00917EDB"/>
    <w:rsid w:val="009341AD"/>
    <w:rsid w:val="009600F7"/>
    <w:rsid w:val="009877CF"/>
    <w:rsid w:val="00987D47"/>
    <w:rsid w:val="009C03E1"/>
    <w:rsid w:val="009E6364"/>
    <w:rsid w:val="00A31868"/>
    <w:rsid w:val="00A5680F"/>
    <w:rsid w:val="00AE7E69"/>
    <w:rsid w:val="00AF7071"/>
    <w:rsid w:val="00B24205"/>
    <w:rsid w:val="00B242D7"/>
    <w:rsid w:val="00B45BBB"/>
    <w:rsid w:val="00B977CA"/>
    <w:rsid w:val="00BA18F4"/>
    <w:rsid w:val="00BF4BED"/>
    <w:rsid w:val="00C072D6"/>
    <w:rsid w:val="00C20746"/>
    <w:rsid w:val="00C365B0"/>
    <w:rsid w:val="00D12679"/>
    <w:rsid w:val="00D22ABF"/>
    <w:rsid w:val="00D231AE"/>
    <w:rsid w:val="00D26743"/>
    <w:rsid w:val="00D3349D"/>
    <w:rsid w:val="00D33589"/>
    <w:rsid w:val="00D35538"/>
    <w:rsid w:val="00D64218"/>
    <w:rsid w:val="00D9677D"/>
    <w:rsid w:val="00DA0736"/>
    <w:rsid w:val="00DD05F5"/>
    <w:rsid w:val="00DE44BB"/>
    <w:rsid w:val="00E06332"/>
    <w:rsid w:val="00E23929"/>
    <w:rsid w:val="00E24893"/>
    <w:rsid w:val="00EA3EFE"/>
    <w:rsid w:val="00F34CED"/>
    <w:rsid w:val="00F54AF2"/>
    <w:rsid w:val="00FA767D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E3E41"/>
  <w15:chartTrackingRefBased/>
  <w15:docId w15:val="{166F1BC1-9439-49AD-BC9C-53A5A23E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C2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28B"/>
  </w:style>
  <w:style w:type="paragraph" w:styleId="Fuzeile">
    <w:name w:val="footer"/>
    <w:basedOn w:val="Standard"/>
    <w:link w:val="FuzeileZchn"/>
    <w:uiPriority w:val="99"/>
    <w:unhideWhenUsed/>
    <w:rsid w:val="004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2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832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1868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DE44BB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DE44BB"/>
    <w:rPr>
      <w:lang w:eastAsia="en-US"/>
    </w:rPr>
  </w:style>
  <w:style w:type="character" w:styleId="Funotenzeichen">
    <w:name w:val="footnote reference"/>
    <w:uiPriority w:val="99"/>
    <w:semiHidden/>
    <w:unhideWhenUsed/>
    <w:rsid w:val="00DE44BB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836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CE1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836CE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C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6CE1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C365B0"/>
    <w:rPr>
      <w:sz w:val="22"/>
      <w:szCs w:val="22"/>
      <w:lang w:eastAsia="en-US"/>
    </w:rPr>
  </w:style>
  <w:style w:type="character" w:customStyle="1" w:styleId="Standard1">
    <w:name w:val="Standard1"/>
    <w:rsid w:val="006517A1"/>
    <w:rPr>
      <w:rFonts w:ascii="Helvetica" w:hAnsi="Helvetica" w:cs="Helvetica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FA29BC275C8409AE08B5B2396399F" ma:contentTypeVersion="18" ma:contentTypeDescription="Ein neues Dokument erstellen." ma:contentTypeScope="" ma:versionID="c7ef780f356b6bf22ae61294981341cd">
  <xsd:schema xmlns:xsd="http://www.w3.org/2001/XMLSchema" xmlns:xs="http://www.w3.org/2001/XMLSchema" xmlns:p="http://schemas.microsoft.com/office/2006/metadata/properties" xmlns:ns2="68d5184c-dfc5-4fee-91d4-7def32f0ac01" xmlns:ns3="e5e42d2a-7364-46a3-8f28-fcd0e25919e8" targetNamespace="http://schemas.microsoft.com/office/2006/metadata/properties" ma:root="true" ma:fieldsID="74716596a4f917690307ae5c17136cfa" ns2:_="" ns3:_="">
    <xsd:import namespace="68d5184c-dfc5-4fee-91d4-7def32f0ac01"/>
    <xsd:import namespace="e5e42d2a-7364-46a3-8f28-fcd0e2591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184c-dfc5-4fee-91d4-7def32f0a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3aa4034-cf3c-425f-8d03-5a0373c23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2d2a-7364-46a3-8f28-fcd0e2591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e225c0-5eaa-4f2d-af4e-42b8c2045d56}" ma:internalName="TaxCatchAll" ma:showField="CatchAllData" ma:web="e5e42d2a-7364-46a3-8f28-fcd0e2591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5184c-dfc5-4fee-91d4-7def32f0ac01">
      <Terms xmlns="http://schemas.microsoft.com/office/infopath/2007/PartnerControls"/>
    </lcf76f155ced4ddcb4097134ff3c332f>
    <TaxCatchAll xmlns="e5e42d2a-7364-46a3-8f28-fcd0e25919e8"/>
  </documentManagement>
</p:properties>
</file>

<file path=customXml/itemProps1.xml><?xml version="1.0" encoding="utf-8"?>
<ds:datastoreItem xmlns:ds="http://schemas.openxmlformats.org/officeDocument/2006/customXml" ds:itemID="{EBEA36A3-805A-435C-A6A2-EDB396E44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5184c-dfc5-4fee-91d4-7def32f0ac01"/>
    <ds:schemaRef ds:uri="e5e42d2a-7364-46a3-8f28-fcd0e2591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EFF09-176E-4A68-9D0D-A1B373CCF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7EE03-E869-4680-882D-5385150C7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6E621-8C1A-4AC2-9133-7F0F205F5168}">
  <ds:schemaRefs>
    <ds:schemaRef ds:uri="http://schemas.microsoft.com/office/2006/metadata/properties"/>
    <ds:schemaRef ds:uri="http://schemas.microsoft.com/office/infopath/2007/PartnerControls"/>
    <ds:schemaRef ds:uri="68d5184c-dfc5-4fee-91d4-7def32f0ac01"/>
    <ds:schemaRef ds:uri="e5e42d2a-7364-46a3-8f28-fcd0e2591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</dc:creator>
  <cp:keywords/>
  <cp:lastModifiedBy>Michaela Skowronek</cp:lastModifiedBy>
  <cp:revision>2</cp:revision>
  <cp:lastPrinted>2025-02-04T07:27:00Z</cp:lastPrinted>
  <dcterms:created xsi:type="dcterms:W3CDTF">2025-02-14T07:42:00Z</dcterms:created>
  <dcterms:modified xsi:type="dcterms:W3CDTF">2025-02-14T07:42:00Z</dcterms:modified>
</cp:coreProperties>
</file>